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28"/>
        <w:gridCol w:w="885"/>
        <w:gridCol w:w="1740"/>
        <w:gridCol w:w="4607"/>
        <w:gridCol w:w="246"/>
      </w:tblGrid>
      <w:tr w:rsidR="00FD0123" w14:paraId="06DFCA83" w14:textId="77777777" w:rsidTr="00C10427">
        <w:tc>
          <w:tcPr>
            <w:tcW w:w="3453" w:type="dxa"/>
            <w:gridSpan w:val="3"/>
          </w:tcPr>
          <w:p w14:paraId="6FF4C7DA" w14:textId="77777777" w:rsidR="00FD0123" w:rsidRPr="008F6C40" w:rsidRDefault="00FD0123" w:rsidP="00A50C8B">
            <w:pPr>
              <w:rPr>
                <w:b/>
              </w:rPr>
            </w:pPr>
            <w:r w:rsidRPr="008F6C40">
              <w:rPr>
                <w:b/>
              </w:rPr>
              <w:t>Module Code</w:t>
            </w:r>
          </w:p>
          <w:p w14:paraId="1CA3DF52" w14:textId="77777777" w:rsidR="00BE3436" w:rsidRPr="008F6C40" w:rsidRDefault="00BE3436" w:rsidP="00A50C8B">
            <w:pPr>
              <w:rPr>
                <w:b/>
              </w:rPr>
            </w:pPr>
          </w:p>
        </w:tc>
        <w:tc>
          <w:tcPr>
            <w:tcW w:w="4853" w:type="dxa"/>
            <w:gridSpan w:val="2"/>
          </w:tcPr>
          <w:p w14:paraId="55BB20A2" w14:textId="5C31DCAC" w:rsidR="00FD0123" w:rsidRPr="008F6C40" w:rsidRDefault="00D02C85" w:rsidP="00A50C8B">
            <w:pPr>
              <w:rPr>
                <w:b/>
              </w:rPr>
            </w:pPr>
            <w:r w:rsidRPr="008F6C40">
              <w:rPr>
                <w:b/>
              </w:rPr>
              <w:t>D</w:t>
            </w:r>
            <w:r w:rsidR="00095A0E">
              <w:rPr>
                <w:b/>
              </w:rPr>
              <w:t>I</w:t>
            </w:r>
            <w:r w:rsidR="006A1E3D">
              <w:rPr>
                <w:b/>
              </w:rPr>
              <w:t>Q9130 and DIQ913</w:t>
            </w:r>
            <w:r w:rsidR="002D613E">
              <w:rPr>
                <w:b/>
              </w:rPr>
              <w:t>5</w:t>
            </w:r>
          </w:p>
        </w:tc>
      </w:tr>
      <w:tr w:rsidR="00FD0123" w14:paraId="2E760B8B" w14:textId="77777777" w:rsidTr="00C10427">
        <w:tc>
          <w:tcPr>
            <w:tcW w:w="3453" w:type="dxa"/>
            <w:gridSpan w:val="3"/>
          </w:tcPr>
          <w:p w14:paraId="5268A708" w14:textId="77777777" w:rsidR="00FD0123" w:rsidRPr="008F6C40" w:rsidRDefault="00FD0123" w:rsidP="00A50C8B">
            <w:pPr>
              <w:rPr>
                <w:b/>
              </w:rPr>
            </w:pPr>
            <w:r w:rsidRPr="008F6C40">
              <w:rPr>
                <w:b/>
              </w:rPr>
              <w:t>Module Title</w:t>
            </w:r>
          </w:p>
          <w:p w14:paraId="13DCB487" w14:textId="77777777" w:rsidR="00BE3436" w:rsidRPr="008F6C40" w:rsidRDefault="00BE3436" w:rsidP="00A50C8B">
            <w:pPr>
              <w:rPr>
                <w:b/>
              </w:rPr>
            </w:pPr>
          </w:p>
        </w:tc>
        <w:tc>
          <w:tcPr>
            <w:tcW w:w="4853" w:type="dxa"/>
            <w:gridSpan w:val="2"/>
          </w:tcPr>
          <w:p w14:paraId="1506519F" w14:textId="38FCEEB0" w:rsidR="00FD0123" w:rsidRDefault="00951E6F" w:rsidP="00A50C8B">
            <w:r>
              <w:t xml:space="preserve">Being a </w:t>
            </w:r>
            <w:r w:rsidR="00D47382">
              <w:t>Subject Specialist Teacher</w:t>
            </w:r>
          </w:p>
        </w:tc>
      </w:tr>
      <w:tr w:rsidR="00FD0123" w14:paraId="6F6AEEB8" w14:textId="77777777" w:rsidTr="00C10427">
        <w:tc>
          <w:tcPr>
            <w:tcW w:w="3453" w:type="dxa"/>
            <w:gridSpan w:val="3"/>
          </w:tcPr>
          <w:p w14:paraId="01A5919E" w14:textId="77777777" w:rsidR="00FD0123" w:rsidRPr="008F6C40" w:rsidRDefault="00FD0123" w:rsidP="00A50C8B">
            <w:pPr>
              <w:rPr>
                <w:b/>
              </w:rPr>
            </w:pPr>
            <w:r w:rsidRPr="008F6C40">
              <w:rPr>
                <w:b/>
              </w:rPr>
              <w:t>School(s) involved in delivery</w:t>
            </w:r>
          </w:p>
          <w:p w14:paraId="47CFFDC4" w14:textId="77777777" w:rsidR="00BE3436" w:rsidRPr="008F6C40" w:rsidRDefault="00BE3436" w:rsidP="00A50C8B">
            <w:pPr>
              <w:rPr>
                <w:b/>
              </w:rPr>
            </w:pPr>
          </w:p>
        </w:tc>
        <w:tc>
          <w:tcPr>
            <w:tcW w:w="4853" w:type="dxa"/>
            <w:gridSpan w:val="2"/>
          </w:tcPr>
          <w:p w14:paraId="114717DB" w14:textId="77777777" w:rsidR="00FD0123" w:rsidRDefault="002D78F9" w:rsidP="00A50C8B">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and Professional Development</w:t>
            </w:r>
          </w:p>
        </w:tc>
      </w:tr>
      <w:tr w:rsidR="00FD0123" w14:paraId="640D6D18" w14:textId="77777777" w:rsidTr="00C10427">
        <w:tc>
          <w:tcPr>
            <w:tcW w:w="3453" w:type="dxa"/>
            <w:gridSpan w:val="3"/>
          </w:tcPr>
          <w:p w14:paraId="7454F197" w14:textId="77777777" w:rsidR="00FD0123" w:rsidRPr="008F6C40" w:rsidRDefault="00FD0123" w:rsidP="00A50C8B">
            <w:pPr>
              <w:rPr>
                <w:b/>
              </w:rPr>
            </w:pPr>
            <w:r w:rsidRPr="008F6C40">
              <w:rPr>
                <w:b/>
              </w:rPr>
              <w:t>Name of course (s)</w:t>
            </w:r>
          </w:p>
          <w:p w14:paraId="79C52BA8" w14:textId="77777777" w:rsidR="00BE3436" w:rsidRPr="008F6C40" w:rsidRDefault="00BE3436" w:rsidP="00A50C8B">
            <w:pPr>
              <w:rPr>
                <w:b/>
              </w:rPr>
            </w:pPr>
          </w:p>
        </w:tc>
        <w:tc>
          <w:tcPr>
            <w:tcW w:w="4853" w:type="dxa"/>
            <w:gridSpan w:val="2"/>
          </w:tcPr>
          <w:p w14:paraId="1C28CB56" w14:textId="77777777" w:rsidR="00FD0123" w:rsidRDefault="00DA67C5" w:rsidP="00A50C8B">
            <w:r>
              <w:t xml:space="preserve">Professional Graduate </w:t>
            </w:r>
            <w:r w:rsidR="002D78F9">
              <w:t>Certificate</w:t>
            </w:r>
            <w:r w:rsidR="00A629AE">
              <w:t xml:space="preserve"> </w:t>
            </w:r>
            <w:r w:rsidR="00696440">
              <w:t xml:space="preserve">in Education </w:t>
            </w:r>
            <w:r w:rsidR="00A40821">
              <w:t>(Lifelong Learning)</w:t>
            </w:r>
          </w:p>
        </w:tc>
      </w:tr>
      <w:tr w:rsidR="00FD0123" w14:paraId="13BDACEB" w14:textId="77777777" w:rsidTr="00C10427">
        <w:tc>
          <w:tcPr>
            <w:tcW w:w="3453" w:type="dxa"/>
            <w:gridSpan w:val="3"/>
          </w:tcPr>
          <w:p w14:paraId="721F1D2A" w14:textId="77777777" w:rsidR="00FD0123" w:rsidRPr="008F6C40" w:rsidRDefault="00FD0123" w:rsidP="00A50C8B">
            <w:pPr>
              <w:rPr>
                <w:b/>
              </w:rPr>
            </w:pPr>
            <w:r w:rsidRPr="008F6C40">
              <w:rPr>
                <w:b/>
              </w:rPr>
              <w:t>Module Leader</w:t>
            </w:r>
          </w:p>
          <w:p w14:paraId="2EAEC03B" w14:textId="77777777" w:rsidR="00BE3436" w:rsidRPr="008F6C40" w:rsidRDefault="00BE3436" w:rsidP="00A50C8B">
            <w:pPr>
              <w:rPr>
                <w:b/>
              </w:rPr>
            </w:pPr>
          </w:p>
        </w:tc>
        <w:tc>
          <w:tcPr>
            <w:tcW w:w="4853" w:type="dxa"/>
            <w:gridSpan w:val="2"/>
          </w:tcPr>
          <w:p w14:paraId="01116789" w14:textId="47B05541" w:rsidR="00FD0123" w:rsidRDefault="00ED328A" w:rsidP="00A50C8B">
            <w:r>
              <w:t>Nena Skrbic</w:t>
            </w:r>
          </w:p>
        </w:tc>
      </w:tr>
      <w:tr w:rsidR="00FD0123" w14:paraId="48912F33" w14:textId="77777777" w:rsidTr="00C10427">
        <w:tc>
          <w:tcPr>
            <w:tcW w:w="3453" w:type="dxa"/>
            <w:gridSpan w:val="3"/>
          </w:tcPr>
          <w:p w14:paraId="6E9F650C" w14:textId="77777777" w:rsidR="00FD0123" w:rsidRPr="008F6C40" w:rsidRDefault="00FD0123" w:rsidP="00A50C8B">
            <w:pPr>
              <w:rPr>
                <w:b/>
              </w:rPr>
            </w:pPr>
            <w:r w:rsidRPr="008F6C40">
              <w:rPr>
                <w:b/>
              </w:rPr>
              <w:t>Location</w:t>
            </w:r>
          </w:p>
          <w:p w14:paraId="73F4731B" w14:textId="77777777" w:rsidR="00BE3436" w:rsidRPr="008F6C40" w:rsidRDefault="00BE3436" w:rsidP="00A50C8B">
            <w:pPr>
              <w:rPr>
                <w:b/>
              </w:rPr>
            </w:pPr>
          </w:p>
        </w:tc>
        <w:tc>
          <w:tcPr>
            <w:tcW w:w="4853" w:type="dxa"/>
            <w:gridSpan w:val="2"/>
          </w:tcPr>
          <w:p w14:paraId="03F0D111" w14:textId="77777777" w:rsidR="00FD0123" w:rsidRDefault="00696440" w:rsidP="00A50C8B">
            <w:r>
              <w:t>University and Consortium Centres</w:t>
            </w:r>
          </w:p>
        </w:tc>
      </w:tr>
      <w:tr w:rsidR="00FD0123" w14:paraId="398D8E96" w14:textId="77777777" w:rsidTr="00C10427">
        <w:tc>
          <w:tcPr>
            <w:tcW w:w="3453" w:type="dxa"/>
            <w:gridSpan w:val="3"/>
          </w:tcPr>
          <w:p w14:paraId="04CC8FF2" w14:textId="77777777" w:rsidR="00FD0123" w:rsidRPr="008F6C40" w:rsidRDefault="00FD0123" w:rsidP="00A50C8B">
            <w:pPr>
              <w:rPr>
                <w:b/>
              </w:rPr>
            </w:pPr>
            <w:r w:rsidRPr="008F6C40">
              <w:rPr>
                <w:b/>
              </w:rPr>
              <w:t>Module type</w:t>
            </w:r>
          </w:p>
          <w:p w14:paraId="36BAF747" w14:textId="77777777" w:rsidR="00BE3436" w:rsidRPr="008F6C40" w:rsidRDefault="00BE3436" w:rsidP="00A50C8B">
            <w:pPr>
              <w:rPr>
                <w:b/>
              </w:rPr>
            </w:pPr>
          </w:p>
        </w:tc>
        <w:tc>
          <w:tcPr>
            <w:tcW w:w="4853" w:type="dxa"/>
            <w:gridSpan w:val="2"/>
          </w:tcPr>
          <w:p w14:paraId="3DAD39C2" w14:textId="77777777" w:rsidR="00FD0123" w:rsidRDefault="002D78F9" w:rsidP="00A50C8B">
            <w:r>
              <w:t>Co</w:t>
            </w:r>
            <w:r w:rsidR="002B03AD">
              <w:t>mpulsory</w:t>
            </w:r>
          </w:p>
        </w:tc>
      </w:tr>
      <w:tr w:rsidR="00FD0123" w14:paraId="0A6A4695" w14:textId="77777777" w:rsidTr="00C10427">
        <w:tc>
          <w:tcPr>
            <w:tcW w:w="3453" w:type="dxa"/>
            <w:gridSpan w:val="3"/>
          </w:tcPr>
          <w:p w14:paraId="06A3D26F" w14:textId="77777777" w:rsidR="00FD0123" w:rsidRPr="008F6C40" w:rsidRDefault="0033224E" w:rsidP="00A50C8B">
            <w:pPr>
              <w:rPr>
                <w:b/>
              </w:rPr>
            </w:pPr>
            <w:r w:rsidRPr="008F6C40">
              <w:rPr>
                <w:b/>
              </w:rPr>
              <w:t>Credit rating</w:t>
            </w:r>
          </w:p>
          <w:p w14:paraId="55CC99CE" w14:textId="77777777" w:rsidR="00BE3436" w:rsidRPr="008F6C40" w:rsidRDefault="00BE3436" w:rsidP="00A50C8B">
            <w:pPr>
              <w:rPr>
                <w:b/>
              </w:rPr>
            </w:pPr>
          </w:p>
        </w:tc>
        <w:tc>
          <w:tcPr>
            <w:tcW w:w="4853" w:type="dxa"/>
            <w:gridSpan w:val="2"/>
          </w:tcPr>
          <w:p w14:paraId="2535577E" w14:textId="77777777" w:rsidR="00FD0123" w:rsidRDefault="002D78F9" w:rsidP="00A50C8B">
            <w:r>
              <w:t xml:space="preserve">30 </w:t>
            </w:r>
          </w:p>
        </w:tc>
      </w:tr>
      <w:tr w:rsidR="0033224E" w14:paraId="39AA26E9" w14:textId="77777777" w:rsidTr="00C10427">
        <w:tc>
          <w:tcPr>
            <w:tcW w:w="3453" w:type="dxa"/>
            <w:gridSpan w:val="3"/>
          </w:tcPr>
          <w:p w14:paraId="2A227262" w14:textId="77777777" w:rsidR="0033224E" w:rsidRPr="008F6C40" w:rsidRDefault="0033224E" w:rsidP="00A50C8B">
            <w:pPr>
              <w:rPr>
                <w:b/>
              </w:rPr>
            </w:pPr>
            <w:r w:rsidRPr="008F6C40">
              <w:rPr>
                <w:b/>
              </w:rPr>
              <w:t>Level</w:t>
            </w:r>
          </w:p>
          <w:p w14:paraId="068AF28C" w14:textId="77777777" w:rsidR="00BE3436" w:rsidRPr="008F6C40" w:rsidRDefault="00BE3436" w:rsidP="00A50C8B">
            <w:pPr>
              <w:rPr>
                <w:b/>
              </w:rPr>
            </w:pPr>
          </w:p>
        </w:tc>
        <w:tc>
          <w:tcPr>
            <w:tcW w:w="4853" w:type="dxa"/>
            <w:gridSpan w:val="2"/>
          </w:tcPr>
          <w:p w14:paraId="1B878947" w14:textId="5140DA78" w:rsidR="0033224E" w:rsidRDefault="00411B61" w:rsidP="00A50C8B">
            <w:r>
              <w:t xml:space="preserve">5 </w:t>
            </w:r>
            <w:r w:rsidR="00095A0E">
              <w:t>Intermediate</w:t>
            </w:r>
          </w:p>
        </w:tc>
      </w:tr>
      <w:tr w:rsidR="0033224E" w14:paraId="6C653B42" w14:textId="77777777" w:rsidTr="00C10427">
        <w:tc>
          <w:tcPr>
            <w:tcW w:w="3453" w:type="dxa"/>
            <w:gridSpan w:val="3"/>
          </w:tcPr>
          <w:p w14:paraId="4FA38260" w14:textId="77777777" w:rsidR="0033224E" w:rsidRPr="008F6C40" w:rsidRDefault="0033224E" w:rsidP="00A50C8B">
            <w:pPr>
              <w:rPr>
                <w:b/>
              </w:rPr>
            </w:pPr>
            <w:r w:rsidRPr="008F6C40">
              <w:rPr>
                <w:b/>
              </w:rPr>
              <w:t>Learning methods</w:t>
            </w:r>
          </w:p>
        </w:tc>
        <w:tc>
          <w:tcPr>
            <w:tcW w:w="4853" w:type="dxa"/>
            <w:gridSpan w:val="2"/>
          </w:tcPr>
          <w:p w14:paraId="4ECD6C86" w14:textId="77777777" w:rsidR="006F6F4F" w:rsidRPr="00DA486B" w:rsidRDefault="006F6F4F" w:rsidP="00A50C8B">
            <w:r w:rsidRPr="001D586E">
              <w:t>Lecture</w:t>
            </w:r>
            <w:r>
              <w:t xml:space="preserve"> (20 hours)</w:t>
            </w:r>
          </w:p>
          <w:p w14:paraId="39C92DBE" w14:textId="77777777" w:rsidR="006F6F4F" w:rsidRPr="00DA486B" w:rsidRDefault="006F6F4F" w:rsidP="00A50C8B">
            <w:r w:rsidRPr="001D586E">
              <w:t>Seminar</w:t>
            </w:r>
            <w:r>
              <w:t xml:space="preserve"> (40 hours)</w:t>
            </w:r>
          </w:p>
          <w:p w14:paraId="75EC9C6D" w14:textId="77777777" w:rsidR="006F6F4F" w:rsidRPr="004219B3" w:rsidRDefault="006F6F4F" w:rsidP="00A50C8B">
            <w:r w:rsidRPr="004219B3">
              <w:t>Fieldwork &amp; External Visits/Observation of Teaching Practice</w:t>
            </w:r>
            <w:r>
              <w:t xml:space="preserve"> (6 hours)</w:t>
            </w:r>
          </w:p>
          <w:p w14:paraId="1139E99A" w14:textId="77777777" w:rsidR="006F6F4F" w:rsidRPr="004219B3" w:rsidRDefault="006F6F4F" w:rsidP="00A50C8B">
            <w:r w:rsidRPr="004219B3">
              <w:t>Work Based Learning</w:t>
            </w:r>
            <w:r>
              <w:t xml:space="preserve"> (150 hours)</w:t>
            </w:r>
          </w:p>
          <w:p w14:paraId="75C370EA" w14:textId="491841F6" w:rsidR="006F6F4F" w:rsidRPr="00DA486B" w:rsidRDefault="006F6F4F" w:rsidP="00A50C8B">
            <w:r w:rsidRPr="001D586E">
              <w:t>Guided</w:t>
            </w:r>
            <w:r w:rsidR="00ED5A2F">
              <w:t>/blended</w:t>
            </w:r>
            <w:r w:rsidRPr="001D586E">
              <w:t xml:space="preserve"> Independent Study</w:t>
            </w:r>
            <w:r w:rsidRPr="00DA486B">
              <w:t xml:space="preserve"> (including </w:t>
            </w:r>
            <w:r w:rsidR="00ED5A2F">
              <w:t>portfolio development and observation of teaching practice</w:t>
            </w:r>
            <w:r w:rsidRPr="00DA486B">
              <w:t>)</w:t>
            </w:r>
          </w:p>
          <w:p w14:paraId="38A51E08" w14:textId="77777777" w:rsidR="008D30A7" w:rsidRDefault="006F6F4F" w:rsidP="00A50C8B">
            <w:r>
              <w:t>(84</w:t>
            </w:r>
            <w:r w:rsidRPr="00DA486B">
              <w:t xml:space="preserve"> hours)</w:t>
            </w:r>
          </w:p>
          <w:p w14:paraId="65CFB525" w14:textId="77777777" w:rsidR="00A50C8B" w:rsidRDefault="00A50C8B" w:rsidP="00A50C8B"/>
        </w:tc>
      </w:tr>
      <w:tr w:rsidR="0033224E" w14:paraId="1AC80196" w14:textId="77777777" w:rsidTr="00C10427">
        <w:tc>
          <w:tcPr>
            <w:tcW w:w="3453" w:type="dxa"/>
            <w:gridSpan w:val="3"/>
          </w:tcPr>
          <w:p w14:paraId="029F459F" w14:textId="77777777" w:rsidR="0033224E" w:rsidRPr="008F6C40" w:rsidRDefault="0033224E" w:rsidP="00A50C8B">
            <w:pPr>
              <w:rPr>
                <w:b/>
              </w:rPr>
            </w:pPr>
            <w:r w:rsidRPr="008F6C40">
              <w:rPr>
                <w:b/>
              </w:rPr>
              <w:t>Pre-requisites</w:t>
            </w:r>
          </w:p>
          <w:p w14:paraId="333E94F1" w14:textId="77777777" w:rsidR="00BE3436" w:rsidRPr="008F6C40" w:rsidRDefault="00BE3436" w:rsidP="00A50C8B">
            <w:pPr>
              <w:rPr>
                <w:b/>
              </w:rPr>
            </w:pPr>
          </w:p>
        </w:tc>
        <w:tc>
          <w:tcPr>
            <w:tcW w:w="4853" w:type="dxa"/>
            <w:gridSpan w:val="2"/>
          </w:tcPr>
          <w:p w14:paraId="02E4B387" w14:textId="77777777" w:rsidR="0033224E" w:rsidRDefault="00A97EB7" w:rsidP="00A50C8B">
            <w:r>
              <w:t>None</w:t>
            </w:r>
          </w:p>
        </w:tc>
      </w:tr>
      <w:tr w:rsidR="0033224E" w14:paraId="4614B21F" w14:textId="77777777" w:rsidTr="00C10427">
        <w:tc>
          <w:tcPr>
            <w:tcW w:w="3453" w:type="dxa"/>
            <w:gridSpan w:val="3"/>
          </w:tcPr>
          <w:p w14:paraId="05F18C2C" w14:textId="77777777" w:rsidR="0033224E" w:rsidRPr="008F6C40" w:rsidRDefault="0033224E" w:rsidP="00A50C8B">
            <w:pPr>
              <w:rPr>
                <w:b/>
              </w:rPr>
            </w:pPr>
            <w:r w:rsidRPr="008F6C40">
              <w:rPr>
                <w:b/>
              </w:rPr>
              <w:t>Recommended prior study</w:t>
            </w:r>
          </w:p>
          <w:p w14:paraId="1E9B32B4" w14:textId="77777777" w:rsidR="00BE3436" w:rsidRPr="008F6C40" w:rsidRDefault="00BE3436" w:rsidP="00A50C8B">
            <w:pPr>
              <w:rPr>
                <w:b/>
              </w:rPr>
            </w:pPr>
          </w:p>
        </w:tc>
        <w:tc>
          <w:tcPr>
            <w:tcW w:w="4853" w:type="dxa"/>
            <w:gridSpan w:val="2"/>
          </w:tcPr>
          <w:p w14:paraId="42F4D824" w14:textId="77777777" w:rsidR="0033224E" w:rsidRDefault="002D78F9" w:rsidP="00A50C8B">
            <w:r>
              <w:t>None</w:t>
            </w:r>
          </w:p>
        </w:tc>
      </w:tr>
      <w:tr w:rsidR="0033224E" w14:paraId="5F8059F0" w14:textId="77777777" w:rsidTr="00C10427">
        <w:tc>
          <w:tcPr>
            <w:tcW w:w="3453" w:type="dxa"/>
            <w:gridSpan w:val="3"/>
          </w:tcPr>
          <w:p w14:paraId="23022F52" w14:textId="77777777" w:rsidR="0033224E" w:rsidRPr="008F6C40" w:rsidRDefault="0033224E" w:rsidP="00A50C8B">
            <w:pPr>
              <w:rPr>
                <w:b/>
              </w:rPr>
            </w:pPr>
            <w:r w:rsidRPr="008F6C40">
              <w:rPr>
                <w:b/>
              </w:rPr>
              <w:t>Co-requisites</w:t>
            </w:r>
          </w:p>
          <w:p w14:paraId="25DE3163" w14:textId="77777777" w:rsidR="00BE3436" w:rsidRPr="008F6C40" w:rsidRDefault="00BE3436" w:rsidP="00A50C8B">
            <w:pPr>
              <w:rPr>
                <w:b/>
              </w:rPr>
            </w:pPr>
          </w:p>
        </w:tc>
        <w:tc>
          <w:tcPr>
            <w:tcW w:w="4853" w:type="dxa"/>
            <w:gridSpan w:val="2"/>
          </w:tcPr>
          <w:p w14:paraId="58195936" w14:textId="77777777" w:rsidR="0033224E" w:rsidRDefault="002D78F9" w:rsidP="00A50C8B">
            <w:r>
              <w:t>None</w:t>
            </w:r>
          </w:p>
        </w:tc>
      </w:tr>
      <w:tr w:rsidR="00ED5A2F" w14:paraId="700A75F1" w14:textId="77777777" w:rsidTr="00C10427">
        <w:tc>
          <w:tcPr>
            <w:tcW w:w="3453" w:type="dxa"/>
            <w:gridSpan w:val="3"/>
          </w:tcPr>
          <w:p w14:paraId="1C80C029" w14:textId="03A2EA8F" w:rsidR="00ED5A2F" w:rsidRPr="008F6C40" w:rsidRDefault="00ED5A2F" w:rsidP="00A50C8B">
            <w:pPr>
              <w:rPr>
                <w:b/>
              </w:rPr>
            </w:pPr>
            <w:r>
              <w:rPr>
                <w:b/>
              </w:rPr>
              <w:t>Shared teaching</w:t>
            </w:r>
          </w:p>
        </w:tc>
        <w:tc>
          <w:tcPr>
            <w:tcW w:w="4853" w:type="dxa"/>
            <w:gridSpan w:val="2"/>
          </w:tcPr>
          <w:p w14:paraId="1258B452" w14:textId="7EA53490" w:rsidR="00ED5A2F" w:rsidRDefault="00ED5A2F" w:rsidP="00A50C8B">
            <w:r>
              <w:t>DHD7130, DHD7135, DMD7130, DMD7135</w:t>
            </w:r>
          </w:p>
        </w:tc>
      </w:tr>
      <w:tr w:rsidR="0033224E" w14:paraId="70E1A327" w14:textId="77777777" w:rsidTr="00C10427">
        <w:tc>
          <w:tcPr>
            <w:tcW w:w="3453" w:type="dxa"/>
            <w:gridSpan w:val="3"/>
          </w:tcPr>
          <w:p w14:paraId="5A07268D" w14:textId="77777777" w:rsidR="0033224E" w:rsidRPr="008F6C40" w:rsidRDefault="0033224E" w:rsidP="00A50C8B">
            <w:pPr>
              <w:rPr>
                <w:b/>
              </w:rPr>
            </w:pPr>
            <w:r w:rsidRPr="008F6C40">
              <w:rPr>
                <w:b/>
              </w:rPr>
              <w:t>Professional body requirements</w:t>
            </w:r>
          </w:p>
          <w:p w14:paraId="5F5ECB4F" w14:textId="77777777" w:rsidR="00BE3436" w:rsidRPr="008F6C40" w:rsidRDefault="00BE3436" w:rsidP="00A50C8B">
            <w:pPr>
              <w:rPr>
                <w:b/>
              </w:rPr>
            </w:pPr>
          </w:p>
        </w:tc>
        <w:tc>
          <w:tcPr>
            <w:tcW w:w="4853" w:type="dxa"/>
            <w:gridSpan w:val="2"/>
          </w:tcPr>
          <w:p w14:paraId="52AA789B" w14:textId="6B074CA0" w:rsidR="0033224E" w:rsidRDefault="00C10427" w:rsidP="00A50C8B">
            <w:r>
              <w:t>Education and Training Foundation Professional Standards for Teachers and Trainers in Education and Training – England – 2014: UK Professional Standards Framework for Higher Education. Ofsted Common Inspection Framework for FEITE</w:t>
            </w:r>
          </w:p>
        </w:tc>
      </w:tr>
      <w:tr w:rsidR="00BE3436" w14:paraId="7DBD0338" w14:textId="77777777" w:rsidTr="00C10427">
        <w:tc>
          <w:tcPr>
            <w:tcW w:w="3453" w:type="dxa"/>
            <w:gridSpan w:val="3"/>
          </w:tcPr>
          <w:p w14:paraId="1B3D0F00" w14:textId="77777777" w:rsidR="00BE3436" w:rsidRPr="008F6C40" w:rsidRDefault="00BE3436" w:rsidP="00A50C8B">
            <w:pPr>
              <w:rPr>
                <w:b/>
              </w:rPr>
            </w:pPr>
            <w:r w:rsidRPr="008F6C40">
              <w:rPr>
                <w:b/>
              </w:rPr>
              <w:t>Graded or Non-graded</w:t>
            </w:r>
          </w:p>
          <w:p w14:paraId="107521FC" w14:textId="77777777" w:rsidR="00BE3436" w:rsidRPr="008F6C40" w:rsidRDefault="00BE3436" w:rsidP="00A50C8B">
            <w:pPr>
              <w:rPr>
                <w:b/>
              </w:rPr>
            </w:pPr>
          </w:p>
        </w:tc>
        <w:tc>
          <w:tcPr>
            <w:tcW w:w="4853" w:type="dxa"/>
            <w:gridSpan w:val="2"/>
          </w:tcPr>
          <w:p w14:paraId="78A56FC0" w14:textId="3CA5D547" w:rsidR="00BE3436" w:rsidRDefault="00B959B9" w:rsidP="00A50C8B">
            <w:r>
              <w:t>Non-g</w:t>
            </w:r>
            <w:r w:rsidR="00ED5A2F">
              <w:t>raded</w:t>
            </w:r>
          </w:p>
        </w:tc>
      </w:tr>
      <w:tr w:rsidR="00BE3436" w14:paraId="13AC9B9A" w14:textId="77777777" w:rsidTr="00C10427">
        <w:tc>
          <w:tcPr>
            <w:tcW w:w="3453" w:type="dxa"/>
            <w:gridSpan w:val="3"/>
          </w:tcPr>
          <w:p w14:paraId="57317FE4" w14:textId="77777777" w:rsidR="00BE3436" w:rsidRPr="008F6C40" w:rsidRDefault="00BE3436" w:rsidP="00A50C8B">
            <w:pPr>
              <w:rPr>
                <w:b/>
              </w:rPr>
            </w:pPr>
            <w:r w:rsidRPr="008F6C40">
              <w:rPr>
                <w:b/>
              </w:rPr>
              <w:t>Barred combinations</w:t>
            </w:r>
          </w:p>
          <w:p w14:paraId="2104341C" w14:textId="77777777" w:rsidR="00BE3436" w:rsidRPr="008F6C40" w:rsidRDefault="00BE3436" w:rsidP="00A50C8B">
            <w:pPr>
              <w:rPr>
                <w:b/>
              </w:rPr>
            </w:pPr>
          </w:p>
        </w:tc>
        <w:tc>
          <w:tcPr>
            <w:tcW w:w="4853" w:type="dxa"/>
            <w:gridSpan w:val="2"/>
          </w:tcPr>
          <w:p w14:paraId="394FC753" w14:textId="4488C0F4" w:rsidR="00BE3436" w:rsidRDefault="00E4635F" w:rsidP="00A50C8B">
            <w:r>
              <w:t>D</w:t>
            </w:r>
            <w:r w:rsidR="00095A0E">
              <w:t>H</w:t>
            </w:r>
            <w:r w:rsidR="002D613E">
              <w:t>Q9130/</w:t>
            </w:r>
            <w:r w:rsidR="00ED5A2F">
              <w:t>5</w:t>
            </w:r>
          </w:p>
          <w:p w14:paraId="449E9AFC" w14:textId="5EC63301" w:rsidR="00E4635F" w:rsidRDefault="002D613E" w:rsidP="00A50C8B">
            <w:r>
              <w:t>DMQ9130</w:t>
            </w:r>
            <w:r w:rsidR="00ED5A2F">
              <w:t>/5</w:t>
            </w:r>
          </w:p>
        </w:tc>
      </w:tr>
      <w:tr w:rsidR="003A7672" w14:paraId="7ED0018E" w14:textId="77777777" w:rsidTr="00C10427">
        <w:tc>
          <w:tcPr>
            <w:tcW w:w="8306" w:type="dxa"/>
            <w:gridSpan w:val="5"/>
          </w:tcPr>
          <w:p w14:paraId="3C2F54AB" w14:textId="27A9CEB0" w:rsidR="003A7672" w:rsidRDefault="003A7672" w:rsidP="00A50C8B">
            <w:pPr>
              <w:rPr>
                <w:b/>
              </w:rPr>
            </w:pPr>
            <w:r>
              <w:rPr>
                <w:b/>
              </w:rPr>
              <w:t>Synopsis</w:t>
            </w:r>
          </w:p>
        </w:tc>
      </w:tr>
      <w:tr w:rsidR="003A7672" w14:paraId="6B5F6BEC" w14:textId="77777777" w:rsidTr="00C10427">
        <w:tc>
          <w:tcPr>
            <w:tcW w:w="8306" w:type="dxa"/>
            <w:gridSpan w:val="5"/>
          </w:tcPr>
          <w:p w14:paraId="0CD891D6" w14:textId="65BAED88" w:rsidR="003A7672" w:rsidRPr="00081289" w:rsidRDefault="003A7672" w:rsidP="00A50C8B">
            <w:pPr>
              <w:jc w:val="both"/>
            </w:pPr>
            <w:r>
              <w:rPr>
                <w:rFonts w:cs="Arial"/>
              </w:rPr>
              <w:t>This module builds on previous generic and subject specialist development in two ways</w:t>
            </w:r>
            <w:r w:rsidR="005621EE">
              <w:rPr>
                <w:rFonts w:cs="Arial"/>
              </w:rPr>
              <w:t>. Firstly, it contributes to your</w:t>
            </w:r>
            <w:r>
              <w:rPr>
                <w:rFonts w:cs="Arial"/>
              </w:rPr>
              <w:t xml:space="preserve"> development of more advanced strategies and methods for promoting learning and, secondly, it involves a focus on specific specialist areas and the critical analysis</w:t>
            </w:r>
            <w:r w:rsidR="00E07F79">
              <w:rPr>
                <w:rFonts w:cs="Arial"/>
              </w:rPr>
              <w:t xml:space="preserve"> of</w:t>
            </w:r>
            <w:r>
              <w:rPr>
                <w:rFonts w:cs="Arial"/>
              </w:rPr>
              <w:t xml:space="preserve"> subject specialist pedagogy. The module achieves</w:t>
            </w:r>
            <w:r w:rsidR="005621EE">
              <w:rPr>
                <w:rFonts w:cs="Arial"/>
              </w:rPr>
              <w:t xml:space="preserve"> these purposes by enhancing your</w:t>
            </w:r>
            <w:r>
              <w:rPr>
                <w:rFonts w:cs="Arial"/>
              </w:rPr>
              <w:t xml:space="preserve"> ability to reflect critically on, and to evaluate, teaching and learning; by recognising particular curriculum and professional challe</w:t>
            </w:r>
            <w:r w:rsidR="00FD4579">
              <w:rPr>
                <w:rFonts w:cs="Arial"/>
              </w:rPr>
              <w:t>nges; and by developing your ability to respond</w:t>
            </w:r>
            <w:r>
              <w:rPr>
                <w:rFonts w:cs="Arial"/>
              </w:rPr>
              <w:t xml:space="preserve"> to these concerns in sophisticated, innovative and creative ways. Key learning activities of the module are practical teaching experience and the engagement with other specialists through collaborative practice. The module is assessed through a Teaching Portfolio and a Conference Paper dealing with teaching and learning in the specialist subject. These tasks are weighted 60% and 40% respectively.</w:t>
            </w:r>
          </w:p>
        </w:tc>
      </w:tr>
      <w:tr w:rsidR="003A7672" w14:paraId="3BC5D42D" w14:textId="77777777" w:rsidTr="00C10427">
        <w:tc>
          <w:tcPr>
            <w:tcW w:w="8306" w:type="dxa"/>
            <w:gridSpan w:val="5"/>
          </w:tcPr>
          <w:p w14:paraId="46BC2AE1" w14:textId="77777777" w:rsidR="003A7672" w:rsidRDefault="003A7672" w:rsidP="00A50C8B"/>
        </w:tc>
      </w:tr>
      <w:tr w:rsidR="003A7672" w14:paraId="02FB3F35" w14:textId="77777777" w:rsidTr="00C10427">
        <w:tc>
          <w:tcPr>
            <w:tcW w:w="8306" w:type="dxa"/>
            <w:gridSpan w:val="5"/>
          </w:tcPr>
          <w:p w14:paraId="2F69A567" w14:textId="354379D5" w:rsidR="003A7672" w:rsidRPr="008D30A7" w:rsidRDefault="003A7672" w:rsidP="00A50C8B">
            <w:pPr>
              <w:rPr>
                <w:b/>
              </w:rPr>
            </w:pPr>
            <w:r>
              <w:rPr>
                <w:b/>
              </w:rPr>
              <w:t>Learning Strategy</w:t>
            </w:r>
          </w:p>
        </w:tc>
      </w:tr>
      <w:tr w:rsidR="003A7672" w14:paraId="2119E318" w14:textId="77777777" w:rsidTr="00C10427">
        <w:tc>
          <w:tcPr>
            <w:tcW w:w="8306" w:type="dxa"/>
            <w:gridSpan w:val="5"/>
          </w:tcPr>
          <w:p w14:paraId="35B61719" w14:textId="77777777" w:rsidR="003A7672" w:rsidRDefault="003A7672" w:rsidP="00A50C8B">
            <w:pPr>
              <w:jc w:val="both"/>
            </w:pPr>
            <w:r>
              <w:t xml:space="preserve">Learning in the module is based on a range of strategies including experiential learning, lectures, seminars, student presentations, small-group work and the use of digital </w:t>
            </w:r>
            <w:r>
              <w:lastRenderedPageBreak/>
              <w:t xml:space="preserve">technologies. </w:t>
            </w:r>
          </w:p>
          <w:p w14:paraId="25A0F75F" w14:textId="77777777" w:rsidR="003A7672" w:rsidRDefault="003A7672" w:rsidP="00A50C8B">
            <w:pPr>
              <w:jc w:val="both"/>
            </w:pPr>
          </w:p>
          <w:p w14:paraId="2B3EB075" w14:textId="77777777" w:rsidR="003A7672" w:rsidRDefault="003A7672" w:rsidP="00A50C8B">
            <w:pPr>
              <w:jc w:val="both"/>
            </w:pPr>
            <w:r>
              <w:t>Experiential learning is based normally on a minimum of 50 hours teaching and/or training, supported by reflection, peer and self-evaluation. Constructive feedback on observed teaching sessions. Discussions with a specialist mentor and other colleagues within the local department.</w:t>
            </w:r>
          </w:p>
          <w:p w14:paraId="1F045425" w14:textId="77777777" w:rsidR="003A7672" w:rsidRDefault="003A7672" w:rsidP="00A50C8B">
            <w:pPr>
              <w:jc w:val="both"/>
            </w:pPr>
          </w:p>
          <w:p w14:paraId="698B53C7" w14:textId="317DF645" w:rsidR="003A7672" w:rsidRDefault="003A7672" w:rsidP="00A50C8B">
            <w:pPr>
              <w:jc w:val="both"/>
            </w:pPr>
            <w:r>
              <w:t>A key element of the learning strategy is attendance at a Subject Specialist Conference, during which trainees take part in specialist group activities led by tutors with appropriate expertise. Trainees and tutors will continue to engage outside these events by means of Specialist Online Communities.</w:t>
            </w:r>
          </w:p>
        </w:tc>
      </w:tr>
      <w:tr w:rsidR="008D30A7" w14:paraId="54EF8748" w14:textId="77777777" w:rsidTr="00C10427">
        <w:tc>
          <w:tcPr>
            <w:tcW w:w="8306" w:type="dxa"/>
            <w:gridSpan w:val="5"/>
          </w:tcPr>
          <w:p w14:paraId="7929D579" w14:textId="77777777" w:rsidR="008D30A7" w:rsidRDefault="008D30A7" w:rsidP="00A50C8B"/>
        </w:tc>
      </w:tr>
      <w:tr w:rsidR="003A7672" w14:paraId="33754CCB" w14:textId="77777777" w:rsidTr="00C10427">
        <w:tc>
          <w:tcPr>
            <w:tcW w:w="8306" w:type="dxa"/>
            <w:gridSpan w:val="5"/>
          </w:tcPr>
          <w:p w14:paraId="0425A69B" w14:textId="63149803" w:rsidR="003A7672" w:rsidRPr="008F6C40" w:rsidRDefault="003A7672" w:rsidP="00A50C8B">
            <w:pPr>
              <w:rPr>
                <w:b/>
              </w:rPr>
            </w:pPr>
            <w:r>
              <w:rPr>
                <w:b/>
              </w:rPr>
              <w:t>Outline syllabus</w:t>
            </w:r>
          </w:p>
        </w:tc>
      </w:tr>
      <w:tr w:rsidR="003A7672" w14:paraId="2CA54718" w14:textId="77777777" w:rsidTr="00C10427">
        <w:tc>
          <w:tcPr>
            <w:tcW w:w="8306" w:type="dxa"/>
            <w:gridSpan w:val="5"/>
          </w:tcPr>
          <w:p w14:paraId="54EEAC85" w14:textId="77777777" w:rsidR="003A7672" w:rsidRPr="00A525CA" w:rsidRDefault="003A7672" w:rsidP="00A50C8B">
            <w:pPr>
              <w:jc w:val="both"/>
            </w:pPr>
            <w:r w:rsidRPr="00A525CA">
              <w:t xml:space="preserve">A minimum of normally 50 hours practical teaching or training, in a range of contexts in Lifelong Learning.  </w:t>
            </w:r>
          </w:p>
          <w:p w14:paraId="635D44C1" w14:textId="77777777" w:rsidR="003A7672" w:rsidRPr="00A525CA" w:rsidRDefault="003A7672" w:rsidP="00A50C8B">
            <w:pPr>
              <w:pStyle w:val="BodyText"/>
              <w:jc w:val="both"/>
            </w:pPr>
          </w:p>
          <w:p w14:paraId="0C23832C" w14:textId="77777777" w:rsidR="003A7672" w:rsidRPr="00A525CA" w:rsidRDefault="003A7672" w:rsidP="00A50C8B">
            <w:pPr>
              <w:jc w:val="both"/>
            </w:pPr>
            <w:r w:rsidRPr="00A525CA">
              <w:t xml:space="preserve">The concept of ‘advanced practice’ in teaching. Processes of reflection and evaluation and their place in teaching and learning. </w:t>
            </w:r>
          </w:p>
          <w:p w14:paraId="496BE768" w14:textId="77777777" w:rsidR="003A7672" w:rsidRPr="00A525CA" w:rsidRDefault="003A7672" w:rsidP="00A50C8B">
            <w:pPr>
              <w:pStyle w:val="BodyText"/>
              <w:jc w:val="both"/>
            </w:pPr>
          </w:p>
          <w:p w14:paraId="4B995201" w14:textId="78D3166F" w:rsidR="003A7672" w:rsidRPr="00A525CA" w:rsidRDefault="00F532E7" w:rsidP="00A50C8B">
            <w:pPr>
              <w:jc w:val="both"/>
            </w:pPr>
            <w:r w:rsidRPr="00A525CA">
              <w:t>I</w:t>
            </w:r>
            <w:r w:rsidR="003A7672" w:rsidRPr="00A525CA">
              <w:t>nnovation and creativity in education and training. The notion of sustainability in education and its implications for teaching and learning in specialist areas.</w:t>
            </w:r>
          </w:p>
          <w:p w14:paraId="53EBC64E" w14:textId="77777777" w:rsidR="003A7672" w:rsidRPr="00A525CA" w:rsidRDefault="003A7672" w:rsidP="00A50C8B">
            <w:pPr>
              <w:jc w:val="both"/>
            </w:pPr>
          </w:p>
          <w:p w14:paraId="1723854A" w14:textId="5258FAEB" w:rsidR="003A7672" w:rsidRPr="00A525CA" w:rsidRDefault="00F532E7" w:rsidP="00A50C8B">
            <w:pPr>
              <w:jc w:val="both"/>
            </w:pPr>
            <w:r w:rsidRPr="00A525CA">
              <w:t>T</w:t>
            </w:r>
            <w:r w:rsidR="003A7672" w:rsidRPr="00A525CA">
              <w:t>he notions of ‘specialism’ and ‘subject specialist pedagogy’. Communities of practice in professional and vocational learning. Review of generic and subject specialist action points from the Teaching Portfolio. Formulation and implementation of an action plan within the e-portfolio to develop advanced practice in the trainee’s own specialist teaching. The process of mentoring within and beyond the specialist area.</w:t>
            </w:r>
          </w:p>
          <w:p w14:paraId="48BD3163" w14:textId="77777777" w:rsidR="003A7672" w:rsidRPr="00A525CA" w:rsidRDefault="003A7672" w:rsidP="00A50C8B">
            <w:pPr>
              <w:jc w:val="both"/>
            </w:pPr>
          </w:p>
          <w:p w14:paraId="1D1C8413" w14:textId="6172F4CB" w:rsidR="003A7672" w:rsidRPr="00A525CA" w:rsidRDefault="00F532E7" w:rsidP="00A50C8B">
            <w:pPr>
              <w:jc w:val="both"/>
              <w:rPr>
                <w:rFonts w:cs="Arial"/>
              </w:rPr>
            </w:pPr>
            <w:r w:rsidRPr="00A525CA">
              <w:t>C</w:t>
            </w:r>
            <w:r w:rsidR="003A7672" w:rsidRPr="00A525CA">
              <w:t xml:space="preserve">haracteristics of the specialist subject area (e.g. the nature of its knowledge, methodology and application). Key pedagogical principles relating to the specialist area </w:t>
            </w:r>
            <w:r w:rsidR="003A7672" w:rsidRPr="00A525CA">
              <w:rPr>
                <w:rFonts w:cs="Arial"/>
              </w:rPr>
              <w:t>and their implications for teaching, learning and assessment. Embedding English, maths and digital skills in teaching and learning in the specialist area.</w:t>
            </w:r>
            <w:r w:rsidR="003A7672" w:rsidRPr="00A525CA">
              <w:rPr>
                <w:rFonts w:cs="Arial"/>
                <w:i/>
              </w:rPr>
              <w:t xml:space="preserve"> </w:t>
            </w:r>
            <w:r w:rsidR="003A7672" w:rsidRPr="00A525CA">
              <w:rPr>
                <w:rFonts w:cs="Arial"/>
              </w:rPr>
              <w:t>The support and enhancement of learning in the specialist area by means of digital technologies.</w:t>
            </w:r>
          </w:p>
          <w:p w14:paraId="6A038FF6" w14:textId="77777777" w:rsidR="003A7672" w:rsidRPr="00A525CA" w:rsidRDefault="003A7672" w:rsidP="00A50C8B">
            <w:pPr>
              <w:jc w:val="both"/>
              <w:rPr>
                <w:rFonts w:cs="Arial"/>
              </w:rPr>
            </w:pPr>
          </w:p>
          <w:p w14:paraId="4F5C8D4B" w14:textId="1485B312" w:rsidR="003A7672" w:rsidRPr="008F6C40" w:rsidRDefault="003A7672" w:rsidP="00A50C8B">
            <w:pPr>
              <w:jc w:val="both"/>
              <w:rPr>
                <w:rFonts w:cs="Arial"/>
              </w:rPr>
            </w:pPr>
            <w:r w:rsidRPr="00A525CA">
              <w:rPr>
                <w:rFonts w:cs="Arial"/>
              </w:rPr>
              <w:t>Investigation of resources for specialist teaching and learning, including: learning materials and equipment; books, journals and online resources; other digital resources. Analysis of health and safety issues in the specialist area.</w:t>
            </w:r>
            <w:r w:rsidRPr="00A525CA">
              <w:t xml:space="preserve"> </w:t>
            </w:r>
            <w:r w:rsidRPr="00A525CA">
              <w:rPr>
                <w:rFonts w:cs="Arial"/>
              </w:rPr>
              <w:t>Environmental sustainability in the specialist area.</w:t>
            </w:r>
            <w:r w:rsidRPr="00A525CA">
              <w:t xml:space="preserve"> Investigation of </w:t>
            </w:r>
            <w:r w:rsidRPr="00A525CA">
              <w:rPr>
                <w:rFonts w:cs="Arial"/>
              </w:rPr>
              <w:t>specialist professional organisations.</w:t>
            </w:r>
          </w:p>
        </w:tc>
      </w:tr>
      <w:tr w:rsidR="008D30A7" w14:paraId="6D290944" w14:textId="77777777" w:rsidTr="00C10427">
        <w:tc>
          <w:tcPr>
            <w:tcW w:w="8306" w:type="dxa"/>
            <w:gridSpan w:val="5"/>
          </w:tcPr>
          <w:p w14:paraId="5BA53D2F" w14:textId="77777777" w:rsidR="008D30A7" w:rsidRDefault="008D30A7" w:rsidP="00A50C8B"/>
        </w:tc>
      </w:tr>
      <w:tr w:rsidR="008D30A7" w14:paraId="18DE9662" w14:textId="77777777" w:rsidTr="00C10427">
        <w:tc>
          <w:tcPr>
            <w:tcW w:w="8306" w:type="dxa"/>
            <w:gridSpan w:val="5"/>
          </w:tcPr>
          <w:p w14:paraId="5A5563B2" w14:textId="77777777" w:rsidR="008D30A7" w:rsidRDefault="008D30A7" w:rsidP="00A50C8B">
            <w:r w:rsidRPr="008F6C40">
              <w:rPr>
                <w:b/>
              </w:rPr>
              <w:t>Learning Outcomes</w:t>
            </w:r>
          </w:p>
        </w:tc>
      </w:tr>
      <w:tr w:rsidR="008D30A7" w14:paraId="4ABDA7DC" w14:textId="77777777" w:rsidTr="00C10427">
        <w:tc>
          <w:tcPr>
            <w:tcW w:w="8306" w:type="dxa"/>
            <w:gridSpan w:val="5"/>
          </w:tcPr>
          <w:p w14:paraId="2E3BE49A" w14:textId="77777777" w:rsidR="008D30A7" w:rsidRPr="008F6C40" w:rsidRDefault="008D30A7" w:rsidP="00A50C8B">
            <w:pPr>
              <w:rPr>
                <w:b/>
              </w:rPr>
            </w:pPr>
            <w:r w:rsidRPr="008F6C40">
              <w:rPr>
                <w:b/>
              </w:rPr>
              <w:t>Knowledge and Understanding:</w:t>
            </w:r>
          </w:p>
        </w:tc>
      </w:tr>
      <w:tr w:rsidR="008D30A7" w14:paraId="3ACDA65F" w14:textId="77777777" w:rsidTr="00C10427">
        <w:tc>
          <w:tcPr>
            <w:tcW w:w="828" w:type="dxa"/>
            <w:shd w:val="clear" w:color="auto" w:fill="auto"/>
          </w:tcPr>
          <w:p w14:paraId="68DD7A70" w14:textId="77777777" w:rsidR="008D30A7" w:rsidRDefault="008D30A7" w:rsidP="00A50C8B">
            <w:r>
              <w:t>1</w:t>
            </w:r>
          </w:p>
        </w:tc>
        <w:tc>
          <w:tcPr>
            <w:tcW w:w="7478" w:type="dxa"/>
            <w:gridSpan w:val="4"/>
            <w:shd w:val="clear" w:color="auto" w:fill="auto"/>
          </w:tcPr>
          <w:p w14:paraId="13AEFA86" w14:textId="4751C393" w:rsidR="008D30A7" w:rsidRPr="008F6C40" w:rsidRDefault="00095A0E" w:rsidP="00A50C8B">
            <w:pPr>
              <w:jc w:val="both"/>
              <w:rPr>
                <w:rFonts w:cs="Arial"/>
                <w:i/>
              </w:rPr>
            </w:pPr>
            <w:r>
              <w:rPr>
                <w:rFonts w:cs="Arial"/>
              </w:rPr>
              <w:t>R</w:t>
            </w:r>
            <w:r w:rsidR="00411B61">
              <w:rPr>
                <w:rFonts w:cs="Arial"/>
              </w:rPr>
              <w:t>eview</w:t>
            </w:r>
            <w:r w:rsidR="008D30A7" w:rsidRPr="008F6C40">
              <w:rPr>
                <w:rFonts w:cs="Arial"/>
              </w:rPr>
              <w:t xml:space="preserve"> key pedagogical principles and their implications for teaching and learning in the specialist area</w:t>
            </w:r>
            <w:r w:rsidR="008D30A7" w:rsidRPr="008F6C40">
              <w:rPr>
                <w:rFonts w:cs="Arial"/>
                <w:i/>
              </w:rPr>
              <w:t xml:space="preserve">. </w:t>
            </w:r>
          </w:p>
        </w:tc>
      </w:tr>
      <w:tr w:rsidR="008D30A7" w14:paraId="252F8F6F" w14:textId="77777777" w:rsidTr="00C10427">
        <w:tc>
          <w:tcPr>
            <w:tcW w:w="828" w:type="dxa"/>
            <w:shd w:val="clear" w:color="auto" w:fill="auto"/>
          </w:tcPr>
          <w:p w14:paraId="7E744D1F" w14:textId="77777777" w:rsidR="008D30A7" w:rsidRDefault="008D30A7" w:rsidP="00A50C8B">
            <w:r>
              <w:t>2</w:t>
            </w:r>
          </w:p>
        </w:tc>
        <w:tc>
          <w:tcPr>
            <w:tcW w:w="7478" w:type="dxa"/>
            <w:gridSpan w:val="4"/>
            <w:shd w:val="clear" w:color="auto" w:fill="auto"/>
          </w:tcPr>
          <w:p w14:paraId="4EBF8A75" w14:textId="7BC4460A" w:rsidR="008D30A7" w:rsidRPr="008F6C40" w:rsidRDefault="00095A0E" w:rsidP="00A50C8B">
            <w:pPr>
              <w:jc w:val="both"/>
              <w:rPr>
                <w:rFonts w:cs="Arial"/>
              </w:rPr>
            </w:pPr>
            <w:r>
              <w:rPr>
                <w:rFonts w:cs="Arial"/>
              </w:rPr>
              <w:t>A</w:t>
            </w:r>
            <w:r w:rsidR="00411B61">
              <w:rPr>
                <w:rFonts w:cs="Arial"/>
              </w:rPr>
              <w:t>nalyse</w:t>
            </w:r>
            <w:r w:rsidR="008D30A7" w:rsidRPr="008F6C40">
              <w:rPr>
                <w:rFonts w:cs="Arial"/>
              </w:rPr>
              <w:t xml:space="preserve"> the theoretical concepts of innovation and creativity in teaching and learning and their application to a particular specialist area. </w:t>
            </w:r>
          </w:p>
        </w:tc>
      </w:tr>
      <w:tr w:rsidR="008D30A7" w14:paraId="4C25EF54" w14:textId="77777777" w:rsidTr="00C10427">
        <w:tc>
          <w:tcPr>
            <w:tcW w:w="828" w:type="dxa"/>
            <w:shd w:val="clear" w:color="auto" w:fill="auto"/>
          </w:tcPr>
          <w:p w14:paraId="2C9E6280" w14:textId="77777777" w:rsidR="008D30A7" w:rsidRDefault="008D30A7" w:rsidP="00A50C8B">
            <w:r>
              <w:t>3</w:t>
            </w:r>
          </w:p>
        </w:tc>
        <w:tc>
          <w:tcPr>
            <w:tcW w:w="7478" w:type="dxa"/>
            <w:gridSpan w:val="4"/>
            <w:shd w:val="clear" w:color="auto" w:fill="auto"/>
          </w:tcPr>
          <w:p w14:paraId="5335A5C9" w14:textId="70627243" w:rsidR="008D30A7" w:rsidRPr="008F6C40" w:rsidRDefault="00411B61" w:rsidP="00A50C8B">
            <w:pPr>
              <w:jc w:val="both"/>
              <w:rPr>
                <w:rFonts w:cs="Arial"/>
              </w:rPr>
            </w:pPr>
            <w:r>
              <w:rPr>
                <w:rFonts w:cs="Arial"/>
              </w:rPr>
              <w:t>Discuss</w:t>
            </w:r>
            <w:r w:rsidR="008D30A7" w:rsidRPr="008F6C40">
              <w:rPr>
                <w:rFonts w:cs="Arial"/>
              </w:rPr>
              <w:t xml:space="preserve"> ways in which learning can be supported or enhanced through the application of </w:t>
            </w:r>
            <w:r w:rsidR="00D13E52">
              <w:rPr>
                <w:rFonts w:cs="Arial"/>
              </w:rPr>
              <w:t xml:space="preserve">digital </w:t>
            </w:r>
            <w:r w:rsidR="008D30A7" w:rsidRPr="008F6C40">
              <w:rPr>
                <w:rFonts w:cs="Arial"/>
              </w:rPr>
              <w:t xml:space="preserve">and other new technologies. </w:t>
            </w:r>
          </w:p>
        </w:tc>
      </w:tr>
      <w:tr w:rsidR="008D30A7" w14:paraId="5DAF8FD6" w14:textId="77777777" w:rsidTr="00C10427">
        <w:tc>
          <w:tcPr>
            <w:tcW w:w="828" w:type="dxa"/>
            <w:shd w:val="clear" w:color="auto" w:fill="auto"/>
          </w:tcPr>
          <w:p w14:paraId="665B4527" w14:textId="77777777" w:rsidR="008D30A7" w:rsidRDefault="008D30A7" w:rsidP="00A50C8B">
            <w:r>
              <w:t>4</w:t>
            </w:r>
          </w:p>
          <w:p w14:paraId="72B58BB2" w14:textId="5C93F1B3" w:rsidR="008D30A7" w:rsidRDefault="008D30A7" w:rsidP="00A50C8B"/>
          <w:p w14:paraId="73358AAC" w14:textId="77777777" w:rsidR="00411B61" w:rsidRDefault="00411B61" w:rsidP="00A50C8B"/>
          <w:p w14:paraId="39BD293F" w14:textId="0CF6CD7A" w:rsidR="008D30A7" w:rsidRDefault="008D30A7" w:rsidP="00A50C8B">
            <w:r>
              <w:t>5</w:t>
            </w:r>
          </w:p>
        </w:tc>
        <w:tc>
          <w:tcPr>
            <w:tcW w:w="7478" w:type="dxa"/>
            <w:gridSpan w:val="4"/>
            <w:shd w:val="clear" w:color="auto" w:fill="auto"/>
          </w:tcPr>
          <w:p w14:paraId="7BFA3CC0" w14:textId="06547AD9" w:rsidR="00411B61" w:rsidRDefault="00095A0E" w:rsidP="00A50C8B">
            <w:pPr>
              <w:jc w:val="both"/>
              <w:rPr>
                <w:rFonts w:cs="Arial"/>
              </w:rPr>
            </w:pPr>
            <w:r>
              <w:rPr>
                <w:rFonts w:cs="Arial"/>
              </w:rPr>
              <w:t>A</w:t>
            </w:r>
            <w:r w:rsidR="00411B61">
              <w:rPr>
                <w:rFonts w:cs="Arial"/>
              </w:rPr>
              <w:t>nalyse</w:t>
            </w:r>
            <w:r w:rsidR="008D30A7" w:rsidRPr="008F6C40">
              <w:rPr>
                <w:rFonts w:cs="Arial"/>
              </w:rPr>
              <w:t xml:space="preserve"> new developments impacting on professional practice within the specialist area.</w:t>
            </w:r>
          </w:p>
          <w:p w14:paraId="51C06A01" w14:textId="0358F24F" w:rsidR="008D30A7" w:rsidRPr="008F6C40" w:rsidRDefault="00411B61" w:rsidP="00A50C8B">
            <w:pPr>
              <w:jc w:val="both"/>
              <w:rPr>
                <w:rFonts w:cs="Arial"/>
              </w:rPr>
            </w:pPr>
            <w:r>
              <w:t>Review and agree</w:t>
            </w:r>
            <w:r w:rsidR="008D30A7">
              <w:t xml:space="preserve"> with tutor </w:t>
            </w:r>
            <w:r w:rsidR="008D30A7" w:rsidRPr="00F62E1C">
              <w:t xml:space="preserve">level of achievement on the course and an action plan for </w:t>
            </w:r>
            <w:r w:rsidR="00D13E52">
              <w:t>further professional development</w:t>
            </w:r>
            <w:r w:rsidR="008D30A7">
              <w:t>.</w:t>
            </w:r>
          </w:p>
        </w:tc>
      </w:tr>
      <w:tr w:rsidR="008D30A7" w14:paraId="069D73CE" w14:textId="77777777" w:rsidTr="00C10427">
        <w:tc>
          <w:tcPr>
            <w:tcW w:w="8306" w:type="dxa"/>
            <w:gridSpan w:val="5"/>
          </w:tcPr>
          <w:p w14:paraId="332DFF07" w14:textId="77777777" w:rsidR="008D30A7" w:rsidRDefault="008D30A7" w:rsidP="00A50C8B"/>
        </w:tc>
      </w:tr>
      <w:tr w:rsidR="008D30A7" w14:paraId="30D9A44F" w14:textId="77777777" w:rsidTr="00C10427">
        <w:tc>
          <w:tcPr>
            <w:tcW w:w="8306" w:type="dxa"/>
            <w:gridSpan w:val="5"/>
          </w:tcPr>
          <w:p w14:paraId="61706B84" w14:textId="77777777" w:rsidR="008D30A7" w:rsidRPr="008F6C40" w:rsidRDefault="008D30A7" w:rsidP="00A50C8B">
            <w:pPr>
              <w:rPr>
                <w:b/>
              </w:rPr>
            </w:pPr>
            <w:r w:rsidRPr="008F6C40">
              <w:rPr>
                <w:b/>
              </w:rPr>
              <w:t>Abilities:</w:t>
            </w:r>
          </w:p>
        </w:tc>
      </w:tr>
      <w:tr w:rsidR="008D30A7" w14:paraId="7DA8D7AC" w14:textId="77777777" w:rsidTr="00C10427">
        <w:tc>
          <w:tcPr>
            <w:tcW w:w="828" w:type="dxa"/>
            <w:shd w:val="clear" w:color="auto" w:fill="auto"/>
          </w:tcPr>
          <w:p w14:paraId="2881401F" w14:textId="77777777" w:rsidR="008D30A7" w:rsidRDefault="008D30A7" w:rsidP="00A50C8B">
            <w:r>
              <w:t>1</w:t>
            </w:r>
          </w:p>
        </w:tc>
        <w:tc>
          <w:tcPr>
            <w:tcW w:w="7478" w:type="dxa"/>
            <w:gridSpan w:val="4"/>
            <w:shd w:val="clear" w:color="auto" w:fill="auto"/>
          </w:tcPr>
          <w:p w14:paraId="01859B70" w14:textId="3457731E" w:rsidR="008D30A7" w:rsidRPr="008F6C40" w:rsidRDefault="00411B61" w:rsidP="00A50C8B">
            <w:pPr>
              <w:jc w:val="both"/>
              <w:rPr>
                <w:rFonts w:cs="Arial"/>
              </w:rPr>
            </w:pPr>
            <w:r>
              <w:rPr>
                <w:rFonts w:cs="Arial"/>
              </w:rPr>
              <w:t>Achieve</w:t>
            </w:r>
            <w:r w:rsidR="008D30A7" w:rsidRPr="008F6C40">
              <w:rPr>
                <w:rFonts w:cs="Arial"/>
              </w:rPr>
              <w:t xml:space="preserve"> appropriate standards of professional practice, </w:t>
            </w:r>
          </w:p>
        </w:tc>
      </w:tr>
      <w:tr w:rsidR="008D30A7" w14:paraId="3D55E13D" w14:textId="77777777" w:rsidTr="00C10427">
        <w:tc>
          <w:tcPr>
            <w:tcW w:w="828" w:type="dxa"/>
            <w:shd w:val="clear" w:color="auto" w:fill="auto"/>
          </w:tcPr>
          <w:p w14:paraId="5166E655" w14:textId="77777777" w:rsidR="008D30A7" w:rsidRDefault="008D30A7" w:rsidP="00A50C8B">
            <w:r>
              <w:t>2</w:t>
            </w:r>
          </w:p>
        </w:tc>
        <w:tc>
          <w:tcPr>
            <w:tcW w:w="7478" w:type="dxa"/>
            <w:gridSpan w:val="4"/>
            <w:shd w:val="clear" w:color="auto" w:fill="auto"/>
          </w:tcPr>
          <w:p w14:paraId="739F3234" w14:textId="2AEE9284" w:rsidR="008D30A7" w:rsidRPr="008F6C40" w:rsidRDefault="00411B61" w:rsidP="00A50C8B">
            <w:pPr>
              <w:jc w:val="both"/>
              <w:rPr>
                <w:rFonts w:cs="Arial"/>
              </w:rPr>
            </w:pPr>
            <w:r>
              <w:rPr>
                <w:rFonts w:cs="Arial"/>
              </w:rPr>
              <w:t>Demonstrate</w:t>
            </w:r>
            <w:r w:rsidR="008D30A7" w:rsidRPr="008F6C40">
              <w:rPr>
                <w:rFonts w:cs="Arial"/>
              </w:rPr>
              <w:t xml:space="preserve"> respect for diversity and the ability to establish an inclusive learning environment.</w:t>
            </w:r>
          </w:p>
        </w:tc>
      </w:tr>
      <w:tr w:rsidR="008D30A7" w14:paraId="45AB931E" w14:textId="77777777" w:rsidTr="00C10427">
        <w:tc>
          <w:tcPr>
            <w:tcW w:w="828" w:type="dxa"/>
            <w:shd w:val="clear" w:color="auto" w:fill="auto"/>
          </w:tcPr>
          <w:p w14:paraId="22AEADD0" w14:textId="77777777" w:rsidR="008D30A7" w:rsidRDefault="008D30A7" w:rsidP="00A50C8B">
            <w:r>
              <w:t>3</w:t>
            </w:r>
          </w:p>
        </w:tc>
        <w:tc>
          <w:tcPr>
            <w:tcW w:w="7478" w:type="dxa"/>
            <w:gridSpan w:val="4"/>
            <w:shd w:val="clear" w:color="auto" w:fill="auto"/>
          </w:tcPr>
          <w:p w14:paraId="224ED76F" w14:textId="1373886E" w:rsidR="008D30A7" w:rsidRPr="008F6C40" w:rsidRDefault="00411B61" w:rsidP="00A50C8B">
            <w:pPr>
              <w:jc w:val="both"/>
              <w:rPr>
                <w:rFonts w:cs="Arial"/>
              </w:rPr>
            </w:pPr>
            <w:r>
              <w:rPr>
                <w:rFonts w:cs="Arial"/>
              </w:rPr>
              <w:t>Collaborate</w:t>
            </w:r>
            <w:r w:rsidR="008D30A7" w:rsidRPr="008F6C40">
              <w:rPr>
                <w:rFonts w:cs="Arial"/>
              </w:rPr>
              <w:t xml:space="preserve"> with other specialists to develop own professional practice.</w:t>
            </w:r>
          </w:p>
        </w:tc>
      </w:tr>
      <w:tr w:rsidR="008D30A7" w14:paraId="1E251479" w14:textId="77777777" w:rsidTr="00C10427">
        <w:tc>
          <w:tcPr>
            <w:tcW w:w="828" w:type="dxa"/>
            <w:shd w:val="clear" w:color="auto" w:fill="auto"/>
          </w:tcPr>
          <w:p w14:paraId="6237BEE9" w14:textId="77777777" w:rsidR="008D30A7" w:rsidRDefault="008D30A7" w:rsidP="00A50C8B">
            <w:r>
              <w:t>4</w:t>
            </w:r>
          </w:p>
        </w:tc>
        <w:tc>
          <w:tcPr>
            <w:tcW w:w="7478" w:type="dxa"/>
            <w:gridSpan w:val="4"/>
            <w:shd w:val="clear" w:color="auto" w:fill="auto"/>
          </w:tcPr>
          <w:p w14:paraId="0FA3E8C2" w14:textId="40D95D9D" w:rsidR="008D30A7" w:rsidRPr="008F6C40" w:rsidRDefault="00411B61" w:rsidP="00A50C8B">
            <w:pPr>
              <w:jc w:val="both"/>
              <w:rPr>
                <w:rFonts w:cs="Arial"/>
              </w:rPr>
            </w:pPr>
            <w:r>
              <w:rPr>
                <w:rFonts w:cs="Arial"/>
              </w:rPr>
              <w:t>Apply</w:t>
            </w:r>
            <w:r w:rsidR="008D30A7" w:rsidRPr="008F6C40">
              <w:rPr>
                <w:rFonts w:cs="Arial"/>
              </w:rPr>
              <w:t xml:space="preserve"> appropriate teaching strategies and methods within the specialist area. </w:t>
            </w:r>
          </w:p>
        </w:tc>
      </w:tr>
      <w:tr w:rsidR="008D30A7" w14:paraId="6ED86301" w14:textId="77777777" w:rsidTr="00C10427">
        <w:tc>
          <w:tcPr>
            <w:tcW w:w="828" w:type="dxa"/>
            <w:shd w:val="clear" w:color="auto" w:fill="auto"/>
          </w:tcPr>
          <w:p w14:paraId="0F8F3010" w14:textId="77777777" w:rsidR="008D30A7" w:rsidRDefault="008D30A7" w:rsidP="00A50C8B">
            <w:r>
              <w:t>5</w:t>
            </w:r>
          </w:p>
        </w:tc>
        <w:tc>
          <w:tcPr>
            <w:tcW w:w="7478" w:type="dxa"/>
            <w:gridSpan w:val="4"/>
            <w:shd w:val="clear" w:color="auto" w:fill="auto"/>
          </w:tcPr>
          <w:p w14:paraId="0333A1F2" w14:textId="52358FC3" w:rsidR="008D30A7" w:rsidRPr="008F6C40" w:rsidRDefault="00411B61" w:rsidP="00A50C8B">
            <w:pPr>
              <w:jc w:val="both"/>
              <w:rPr>
                <w:rFonts w:cs="Arial"/>
              </w:rPr>
            </w:pPr>
            <w:r>
              <w:rPr>
                <w:rFonts w:cs="Arial"/>
              </w:rPr>
              <w:t>Critically reflect on, evaluate and develop</w:t>
            </w:r>
            <w:r w:rsidR="008D30A7" w:rsidRPr="008F6C40">
              <w:rPr>
                <w:rFonts w:cs="Arial"/>
              </w:rPr>
              <w:t xml:space="preserve"> innovative and creative approaches to teaching and learning within the specialist area.</w:t>
            </w:r>
          </w:p>
        </w:tc>
      </w:tr>
      <w:tr w:rsidR="008D30A7" w14:paraId="400E4AC1" w14:textId="77777777" w:rsidTr="0049272C">
        <w:trPr>
          <w:gridAfter w:val="1"/>
          <w:wAfter w:w="246" w:type="dxa"/>
        </w:trPr>
        <w:tc>
          <w:tcPr>
            <w:tcW w:w="828" w:type="dxa"/>
            <w:shd w:val="clear" w:color="auto" w:fill="auto"/>
          </w:tcPr>
          <w:p w14:paraId="7E5B1001" w14:textId="77777777" w:rsidR="008D30A7" w:rsidRDefault="008D30A7" w:rsidP="00A50C8B">
            <w:r>
              <w:lastRenderedPageBreak/>
              <w:t>6</w:t>
            </w:r>
          </w:p>
        </w:tc>
        <w:tc>
          <w:tcPr>
            <w:tcW w:w="7232" w:type="dxa"/>
            <w:gridSpan w:val="3"/>
            <w:shd w:val="clear" w:color="auto" w:fill="auto"/>
          </w:tcPr>
          <w:p w14:paraId="0681E3D6" w14:textId="6A2FEF51" w:rsidR="008D30A7" w:rsidRPr="008F6C40" w:rsidRDefault="00411B61" w:rsidP="00A50C8B">
            <w:pPr>
              <w:jc w:val="both"/>
              <w:rPr>
                <w:rFonts w:cs="Arial"/>
              </w:rPr>
            </w:pPr>
            <w:r>
              <w:t>Attend</w:t>
            </w:r>
            <w:r w:rsidR="008D30A7" w:rsidRPr="00CB3CE6">
              <w:t xml:space="preserve"> Subject Specialist Conference </w:t>
            </w:r>
            <w:r w:rsidR="00AB550B">
              <w:t>at which a specialist paper is presented</w:t>
            </w:r>
            <w:r w:rsidR="00C10427">
              <w:t>.</w:t>
            </w:r>
          </w:p>
        </w:tc>
      </w:tr>
      <w:tr w:rsidR="008D30A7" w14:paraId="3A9B6BA2" w14:textId="77777777" w:rsidTr="00C10427">
        <w:tc>
          <w:tcPr>
            <w:tcW w:w="8306" w:type="dxa"/>
            <w:gridSpan w:val="5"/>
          </w:tcPr>
          <w:p w14:paraId="7F56A8EC" w14:textId="77777777" w:rsidR="008D30A7" w:rsidRDefault="008D30A7" w:rsidP="00A50C8B"/>
        </w:tc>
      </w:tr>
      <w:tr w:rsidR="008D30A7" w14:paraId="0F1415E0" w14:textId="77777777" w:rsidTr="00C10427">
        <w:tc>
          <w:tcPr>
            <w:tcW w:w="8306" w:type="dxa"/>
            <w:gridSpan w:val="5"/>
          </w:tcPr>
          <w:p w14:paraId="777CF01A" w14:textId="77777777" w:rsidR="008D30A7" w:rsidRPr="008F6C40" w:rsidRDefault="008D30A7" w:rsidP="00A50C8B">
            <w:pPr>
              <w:rPr>
                <w:b/>
              </w:rPr>
            </w:pPr>
            <w:r w:rsidRPr="008F6C40">
              <w:rPr>
                <w:b/>
              </w:rPr>
              <w:t>Assessment Strategy</w:t>
            </w:r>
          </w:p>
        </w:tc>
      </w:tr>
      <w:tr w:rsidR="008D30A7" w14:paraId="58BF1C3B" w14:textId="77777777" w:rsidTr="00C10427">
        <w:tc>
          <w:tcPr>
            <w:tcW w:w="8306" w:type="dxa"/>
            <w:gridSpan w:val="5"/>
          </w:tcPr>
          <w:p w14:paraId="1097F2BE" w14:textId="77777777" w:rsidR="008D30A7" w:rsidRPr="007B11CE" w:rsidRDefault="008D30A7" w:rsidP="00A50C8B">
            <w:r>
              <w:t xml:space="preserve">Students conducting research as a part of their learning and assessment for this module are expected to do so in accordance with the British Educational Research Association’s ethical guidelines.  Resources to support student compliance with the guidelines is available at the BERA website at the following URL: </w:t>
            </w:r>
            <w:r w:rsidRPr="00912AAD">
              <w:t>http://www.bera.ac.uk/ethics-and-educational-research-2/</w:t>
            </w:r>
            <w:r>
              <w:t>.  Students will be asked when they submit work to indicate that they have read and complied with the guidelines.</w:t>
            </w:r>
          </w:p>
          <w:p w14:paraId="304817A0" w14:textId="77777777" w:rsidR="008D30A7" w:rsidRPr="008F6C40" w:rsidRDefault="008D30A7" w:rsidP="00A50C8B">
            <w:pPr>
              <w:rPr>
                <w:b/>
              </w:rPr>
            </w:pPr>
          </w:p>
        </w:tc>
      </w:tr>
      <w:tr w:rsidR="008D30A7" w14:paraId="56225F24" w14:textId="77777777" w:rsidTr="00C10427">
        <w:tc>
          <w:tcPr>
            <w:tcW w:w="8306" w:type="dxa"/>
            <w:gridSpan w:val="5"/>
          </w:tcPr>
          <w:p w14:paraId="36AAEBBC" w14:textId="77777777" w:rsidR="008D30A7" w:rsidRPr="008F6C40" w:rsidRDefault="008D30A7" w:rsidP="00A50C8B">
            <w:pPr>
              <w:rPr>
                <w:b/>
              </w:rPr>
            </w:pPr>
            <w:r w:rsidRPr="008F6C40">
              <w:rPr>
                <w:b/>
              </w:rPr>
              <w:t>Formative Assessment:</w:t>
            </w:r>
          </w:p>
        </w:tc>
      </w:tr>
      <w:tr w:rsidR="008D30A7" w14:paraId="099CB51B" w14:textId="77777777" w:rsidTr="00C10427">
        <w:tc>
          <w:tcPr>
            <w:tcW w:w="8306" w:type="dxa"/>
            <w:gridSpan w:val="5"/>
          </w:tcPr>
          <w:p w14:paraId="7FA8CBBB" w14:textId="6964E238" w:rsidR="008D30A7" w:rsidRDefault="008D30A7" w:rsidP="00A50C8B">
            <w:r>
              <w:t>Presentations with peer and tutor feedback. Discussion of first drafts of assignments. Tutorials. Feedback arising from teaching observations and from discussions between the trainee and their mentor.</w:t>
            </w:r>
            <w:r w:rsidR="00ED5A2F" w:rsidRPr="009B6492">
              <w:t xml:space="preserve"> This module is not anonymously marked. The module is available for tutor re-assessment.</w:t>
            </w:r>
          </w:p>
        </w:tc>
      </w:tr>
      <w:tr w:rsidR="008D30A7" w14:paraId="34B987A0" w14:textId="77777777" w:rsidTr="00C10427">
        <w:tc>
          <w:tcPr>
            <w:tcW w:w="8306" w:type="dxa"/>
            <w:gridSpan w:val="5"/>
          </w:tcPr>
          <w:p w14:paraId="5BDC7D23" w14:textId="77777777" w:rsidR="008D30A7" w:rsidRDefault="008D30A7" w:rsidP="00A50C8B"/>
        </w:tc>
      </w:tr>
      <w:tr w:rsidR="008D30A7" w14:paraId="308B5A84" w14:textId="77777777" w:rsidTr="00C10427">
        <w:tc>
          <w:tcPr>
            <w:tcW w:w="8306" w:type="dxa"/>
            <w:gridSpan w:val="5"/>
          </w:tcPr>
          <w:p w14:paraId="4C94CBC8" w14:textId="77777777" w:rsidR="008D30A7" w:rsidRPr="008F6C40" w:rsidRDefault="008D30A7" w:rsidP="00A50C8B">
            <w:pPr>
              <w:rPr>
                <w:b/>
              </w:rPr>
            </w:pPr>
            <w:r w:rsidRPr="008F6C40">
              <w:rPr>
                <w:b/>
              </w:rPr>
              <w:t>Summative Assessment:</w:t>
            </w:r>
          </w:p>
          <w:p w14:paraId="035A9C84" w14:textId="2B32FACD" w:rsidR="008D30A7" w:rsidRPr="00CA467A" w:rsidRDefault="008D30A7" w:rsidP="00A50C8B">
            <w:r w:rsidRPr="00CA467A">
              <w:t>The trainee will produce evidence that they have achieved the module outcomes (</w:t>
            </w:r>
            <w:r>
              <w:t xml:space="preserve">equivalent to </w:t>
            </w:r>
            <w:r w:rsidR="003A2FE7">
              <w:t>4500-5500</w:t>
            </w:r>
            <w:r>
              <w:t xml:space="preserve"> words</w:t>
            </w:r>
            <w:r w:rsidRPr="00CA467A">
              <w:t xml:space="preserve"> approximately).</w:t>
            </w:r>
            <w:r w:rsidR="00ED5A2F">
              <w:t xml:space="preserve"> </w:t>
            </w:r>
          </w:p>
          <w:p w14:paraId="463313CC" w14:textId="77777777" w:rsidR="008D30A7" w:rsidRPr="008F6C40" w:rsidRDefault="008D30A7" w:rsidP="00A50C8B">
            <w:pPr>
              <w:rPr>
                <w:b/>
              </w:rPr>
            </w:pPr>
          </w:p>
        </w:tc>
      </w:tr>
      <w:tr w:rsidR="008D30A7" w14:paraId="4F654F6A" w14:textId="77777777" w:rsidTr="00C10427">
        <w:tc>
          <w:tcPr>
            <w:tcW w:w="1713" w:type="dxa"/>
            <w:gridSpan w:val="2"/>
          </w:tcPr>
          <w:p w14:paraId="6D1C58E3" w14:textId="77777777" w:rsidR="008D30A7" w:rsidRPr="008F6C40" w:rsidRDefault="008D30A7" w:rsidP="00A50C8B">
            <w:pPr>
              <w:rPr>
                <w:b/>
              </w:rPr>
            </w:pPr>
            <w:r w:rsidRPr="008F6C40">
              <w:rPr>
                <w:b/>
              </w:rPr>
              <w:t>Assessment Tasks:</w:t>
            </w:r>
          </w:p>
          <w:p w14:paraId="738ADB9F" w14:textId="77777777" w:rsidR="008D30A7" w:rsidRPr="008F6C40" w:rsidRDefault="008D30A7" w:rsidP="00A50C8B">
            <w:pPr>
              <w:rPr>
                <w:b/>
              </w:rPr>
            </w:pPr>
          </w:p>
          <w:p w14:paraId="311856FA" w14:textId="77777777" w:rsidR="008D30A7" w:rsidRDefault="008D30A7" w:rsidP="00A50C8B">
            <w:pPr>
              <w:rPr>
                <w:b/>
              </w:rPr>
            </w:pPr>
            <w:r w:rsidRPr="008F6C40">
              <w:rPr>
                <w:b/>
              </w:rPr>
              <w:t>Both tasks must be passed.</w:t>
            </w:r>
          </w:p>
          <w:p w14:paraId="0DCD842C" w14:textId="77777777" w:rsidR="008D30A7" w:rsidRDefault="008D30A7" w:rsidP="00A50C8B">
            <w:pPr>
              <w:rPr>
                <w:b/>
              </w:rPr>
            </w:pPr>
          </w:p>
          <w:p w14:paraId="20544D2D" w14:textId="77777777" w:rsidR="008D30A7" w:rsidRPr="008F6C40" w:rsidRDefault="008D30A7" w:rsidP="00A50C8B">
            <w:pPr>
              <w:rPr>
                <w:b/>
              </w:rPr>
            </w:pPr>
            <w:r>
              <w:rPr>
                <w:b/>
              </w:rPr>
              <w:t>Task 1 is normally the final piece of assessment</w:t>
            </w:r>
          </w:p>
        </w:tc>
        <w:tc>
          <w:tcPr>
            <w:tcW w:w="6593" w:type="dxa"/>
            <w:gridSpan w:val="3"/>
          </w:tcPr>
          <w:p w14:paraId="784F68AF" w14:textId="77777777" w:rsidR="000D43CB" w:rsidRDefault="000D43CB" w:rsidP="00A50C8B">
            <w:r>
              <w:t>1. A Teaching Portfolio, containing</w:t>
            </w:r>
          </w:p>
          <w:p w14:paraId="196FF7D0" w14:textId="77777777" w:rsidR="000D43CB" w:rsidRDefault="000D43CB" w:rsidP="00A50C8B">
            <w:pPr>
              <w:numPr>
                <w:ilvl w:val="0"/>
                <w:numId w:val="6"/>
              </w:numPr>
            </w:pPr>
            <w:r>
              <w:t xml:space="preserve">Evidence of Personal Development </w:t>
            </w:r>
          </w:p>
          <w:p w14:paraId="7782B250" w14:textId="77777777" w:rsidR="000D43CB" w:rsidRDefault="000D43CB" w:rsidP="00A50C8B">
            <w:pPr>
              <w:numPr>
                <w:ilvl w:val="0"/>
                <w:numId w:val="6"/>
              </w:numPr>
            </w:pPr>
            <w:r>
              <w:t>Records of, and tutor reports on, a minimum of four observations (including one specialist observation) of the trainee’s teaching</w:t>
            </w:r>
          </w:p>
          <w:p w14:paraId="6BFF9967" w14:textId="41E4B7CA" w:rsidR="000D43CB" w:rsidRPr="009C6F1B" w:rsidRDefault="000D43CB" w:rsidP="00A50C8B">
            <w:pPr>
              <w:pStyle w:val="ListParagraph"/>
              <w:numPr>
                <w:ilvl w:val="0"/>
                <w:numId w:val="6"/>
              </w:numPr>
              <w:rPr>
                <w:rFonts w:ascii="Times New Roman" w:hAnsi="Times New Roman"/>
                <w:sz w:val="24"/>
                <w:szCs w:val="24"/>
              </w:rPr>
            </w:pPr>
            <w:r>
              <w:t xml:space="preserve">Structured reflections on a range of </w:t>
            </w:r>
            <w:r w:rsidR="00951E6F">
              <w:t xml:space="preserve">specified </w:t>
            </w:r>
            <w:r>
              <w:t>themes</w:t>
            </w:r>
            <w:r w:rsidR="00951E6F">
              <w:t>.</w:t>
            </w:r>
            <w:r>
              <w:t xml:space="preserve"> The reflections will refer to appropriate literature and will be supported by evidence drawn from records of the trainee’s own teaching (e.g. lesson evaluations, lesson plans and schemes of work). At least one reflection should be based on the trainee’s observation of an experienced teacher’s practice.</w:t>
            </w:r>
            <w:r w:rsidRPr="009C6F1B">
              <w:rPr>
                <w:rFonts w:ascii="Times New Roman" w:hAnsi="Times New Roman"/>
                <w:sz w:val="24"/>
                <w:szCs w:val="24"/>
              </w:rPr>
              <w:t xml:space="preserve"> </w:t>
            </w:r>
          </w:p>
          <w:p w14:paraId="02C84C6B" w14:textId="7F1AB465" w:rsidR="009C6F1B" w:rsidRPr="009C6F1B" w:rsidRDefault="000D43CB" w:rsidP="00A50C8B">
            <w:pPr>
              <w:numPr>
                <w:ilvl w:val="0"/>
                <w:numId w:val="6"/>
              </w:numPr>
              <w:rPr>
                <w:rFonts w:ascii="Times New Roman" w:hAnsi="Times New Roman"/>
                <w:sz w:val="24"/>
                <w:szCs w:val="24"/>
              </w:rPr>
            </w:pPr>
            <w:r>
              <w:t>A critical discussion of how the trainee has been learning to teach and become a teacher.</w:t>
            </w:r>
          </w:p>
          <w:p w14:paraId="2B741E7F" w14:textId="7FB5F6C1" w:rsidR="000D43CB" w:rsidRPr="009C6F1B" w:rsidRDefault="000D43CB" w:rsidP="00A50C8B">
            <w:pPr>
              <w:numPr>
                <w:ilvl w:val="0"/>
                <w:numId w:val="6"/>
              </w:numPr>
              <w:rPr>
                <w:rFonts w:ascii="Times New Roman" w:hAnsi="Times New Roman"/>
                <w:sz w:val="24"/>
                <w:szCs w:val="24"/>
              </w:rPr>
            </w:pPr>
            <w:r>
              <w:t>Completion of a review and action plan agreed with tutor.</w:t>
            </w:r>
          </w:p>
          <w:p w14:paraId="43C636C7" w14:textId="77777777" w:rsidR="008D30A7" w:rsidRPr="008F6C40" w:rsidRDefault="008D30A7" w:rsidP="00A50C8B">
            <w:pPr>
              <w:ind w:left="360"/>
              <w:jc w:val="both"/>
              <w:rPr>
                <w:color w:val="0000FF"/>
              </w:rPr>
            </w:pPr>
          </w:p>
          <w:p w14:paraId="26303CCD" w14:textId="77777777" w:rsidR="008D30A7" w:rsidRDefault="008D30A7" w:rsidP="00A50C8B">
            <w:r>
              <w:t xml:space="preserve"> (Equivalent to 3,000-3,500 words and covering outcomes K1-K5, A1-A5)</w:t>
            </w:r>
          </w:p>
          <w:p w14:paraId="23993A0C" w14:textId="77777777" w:rsidR="008D30A7" w:rsidRDefault="008D30A7" w:rsidP="00A50C8B"/>
          <w:p w14:paraId="4854B354" w14:textId="1066EC77" w:rsidR="008D30A7" w:rsidRPr="008F6C40" w:rsidRDefault="008D30A7" w:rsidP="00A50C8B">
            <w:pPr>
              <w:jc w:val="both"/>
              <w:rPr>
                <w:i/>
              </w:rPr>
            </w:pPr>
            <w:r>
              <w:t>2. P</w:t>
            </w:r>
            <w:r w:rsidRPr="00CB3CE6">
              <w:t xml:space="preserve">resents a Specialist </w:t>
            </w:r>
            <w:r w:rsidRPr="00A525CA">
              <w:t>Conference</w:t>
            </w:r>
            <w:r w:rsidR="00D42F86" w:rsidRPr="00A525CA">
              <w:t xml:space="preserve"> paper</w:t>
            </w:r>
            <w:r w:rsidR="009F3BD1" w:rsidRPr="00A525CA">
              <w:t>.</w:t>
            </w:r>
            <w:r w:rsidRPr="00A525CA">
              <w:t xml:space="preserve"> The</w:t>
            </w:r>
            <w:r w:rsidRPr="00CB3CE6">
              <w:t xml:space="preserve"> paper should discuss </w:t>
            </w:r>
            <w:r>
              <w:t xml:space="preserve">the key pedagogical principles and factors affecting </w:t>
            </w:r>
            <w:r w:rsidRPr="00CB3CE6">
              <w:t xml:space="preserve">teaching and learning within the specialist area. The presentation will normally be supported by a written paper of approximately </w:t>
            </w:r>
            <w:r w:rsidR="00095A0E">
              <w:t xml:space="preserve">1,500 - </w:t>
            </w:r>
            <w:r w:rsidRPr="00CB3CE6">
              <w:t>2,000 words</w:t>
            </w:r>
          </w:p>
          <w:p w14:paraId="7470769A" w14:textId="699D7BB3" w:rsidR="008D30A7" w:rsidRPr="00FD3223" w:rsidRDefault="008D30A7" w:rsidP="00A50C8B">
            <w:pPr>
              <w:rPr>
                <w:i/>
              </w:rPr>
            </w:pPr>
            <w:r>
              <w:t>(</w:t>
            </w:r>
            <w:r w:rsidRPr="008F6C40">
              <w:rPr>
                <w:i/>
              </w:rPr>
              <w:t>Preparatory activities, presentation and written paper in total are equivalent to 2,500-3,000 words and cover outcomes</w:t>
            </w:r>
            <w:r>
              <w:rPr>
                <w:i/>
              </w:rPr>
              <w:t xml:space="preserve"> </w:t>
            </w:r>
            <w:r w:rsidRPr="00E26947">
              <w:t>K1-K4, A2, A3, A5, A6</w:t>
            </w:r>
            <w:r>
              <w:t>)</w:t>
            </w:r>
            <w:r w:rsidR="00FD3223">
              <w:t xml:space="preserve"> </w:t>
            </w:r>
            <w:r w:rsidR="00FD3223">
              <w:rPr>
                <w:i/>
              </w:rPr>
              <w:t>Final Assessment Task</w:t>
            </w:r>
          </w:p>
          <w:p w14:paraId="1982F107" w14:textId="7BB919BD" w:rsidR="00ED5A2F" w:rsidRDefault="00ED5A2F" w:rsidP="00A50C8B"/>
        </w:tc>
      </w:tr>
      <w:tr w:rsidR="008D30A7" w14:paraId="20C8F2E2" w14:textId="77777777" w:rsidTr="00C10427">
        <w:tc>
          <w:tcPr>
            <w:tcW w:w="1713" w:type="dxa"/>
            <w:gridSpan w:val="2"/>
          </w:tcPr>
          <w:p w14:paraId="2342FE76" w14:textId="77777777" w:rsidR="008D30A7" w:rsidRDefault="008D30A7" w:rsidP="00A50C8B"/>
        </w:tc>
        <w:tc>
          <w:tcPr>
            <w:tcW w:w="6593" w:type="dxa"/>
            <w:gridSpan w:val="3"/>
          </w:tcPr>
          <w:p w14:paraId="5C28B587" w14:textId="77777777" w:rsidR="008D30A7" w:rsidRDefault="008D30A7" w:rsidP="00A50C8B"/>
        </w:tc>
      </w:tr>
    </w:tbl>
    <w:p w14:paraId="70913C45" w14:textId="77777777" w:rsidR="00E53C18" w:rsidRDefault="00E53C18" w:rsidP="00E53C18">
      <w:pPr>
        <w:rPr>
          <w:rFonts w:cs="Arial"/>
          <w:b/>
        </w:rPr>
      </w:pPr>
    </w:p>
    <w:p w14:paraId="2EC8509D" w14:textId="4749AD7C" w:rsidR="00E53C18" w:rsidRPr="00486945" w:rsidRDefault="00E53C18" w:rsidP="00E53C18">
      <w:pPr>
        <w:rPr>
          <w:rFonts w:cs="Arial"/>
          <w:b/>
        </w:rPr>
      </w:pPr>
      <w:r>
        <w:rPr>
          <w:rFonts w:cs="Arial"/>
          <w:b/>
        </w:rPr>
        <w:t xml:space="preserve">Assessment </w:t>
      </w:r>
      <w:r w:rsidRPr="00486945">
        <w:rPr>
          <w:rFonts w:cs="Arial"/>
          <w:b/>
        </w:rPr>
        <w:t>Criteria</w:t>
      </w:r>
    </w:p>
    <w:p w14:paraId="55C961E3" w14:textId="77777777" w:rsidR="00E53C18" w:rsidRPr="00153FD1" w:rsidRDefault="00E53C18" w:rsidP="00E53C18">
      <w:pPr>
        <w:rPr>
          <w:rFonts w:cs="Arial"/>
        </w:rPr>
      </w:pPr>
      <w:r w:rsidRPr="00153FD1">
        <w:rPr>
          <w:rFonts w:cs="Arial"/>
        </w:rPr>
        <w:t>All assessment tasks should:</w:t>
      </w:r>
    </w:p>
    <w:p w14:paraId="29BD2CEA"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Meet all module learning outcomes</w:t>
      </w:r>
    </w:p>
    <w:p w14:paraId="5970D29D"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Demonstrate effective practical, professional and reflective skills, knowledge and values in own subject area</w:t>
      </w:r>
    </w:p>
    <w:p w14:paraId="584CC76C"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Integrate relevant reading</w:t>
      </w:r>
    </w:p>
    <w:p w14:paraId="148B53C7"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 xml:space="preserve">Demonstrate well-developed understanding of key issues </w:t>
      </w:r>
    </w:p>
    <w:p w14:paraId="4019AF18"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Apply theory to practice where appropriate</w:t>
      </w:r>
    </w:p>
    <w:p w14:paraId="345EEF3B" w14:textId="77777777" w:rsidR="00E53C18" w:rsidRPr="00153FD1" w:rsidRDefault="00E53C18" w:rsidP="00E53C18">
      <w:pPr>
        <w:pStyle w:val="ListParagraph"/>
        <w:numPr>
          <w:ilvl w:val="0"/>
          <w:numId w:val="8"/>
        </w:numPr>
        <w:spacing w:after="160" w:line="259" w:lineRule="auto"/>
        <w:rPr>
          <w:rFonts w:cs="Arial"/>
        </w:rPr>
      </w:pPr>
      <w:r w:rsidRPr="00153FD1">
        <w:rPr>
          <w:rFonts w:cs="Arial"/>
        </w:rPr>
        <w:t>Be written and presented in a clear academic style</w:t>
      </w:r>
    </w:p>
    <w:p w14:paraId="390C7729" w14:textId="77547A4E" w:rsidR="00E53C18" w:rsidRPr="00153FD1" w:rsidRDefault="00E53C18" w:rsidP="00E53C18">
      <w:pPr>
        <w:spacing w:line="276" w:lineRule="auto"/>
      </w:pPr>
      <w:r w:rsidRPr="00153FD1">
        <w:t xml:space="preserve">All assessment tasks must be </w:t>
      </w:r>
      <w:r>
        <w:t>passed</w:t>
      </w:r>
    </w:p>
    <w:p w14:paraId="2E4439BC" w14:textId="77777777" w:rsidR="00E53C18" w:rsidRPr="00153FD1" w:rsidRDefault="00E53C18" w:rsidP="00E53C18">
      <w:pPr>
        <w:spacing w:line="276" w:lineRule="auto"/>
      </w:pPr>
    </w:p>
    <w:p w14:paraId="4E0EF48B" w14:textId="726DDCB6" w:rsidR="00E53C18" w:rsidRPr="00A50C8B" w:rsidRDefault="00E53C18" w:rsidP="00E53C18">
      <w:pPr>
        <w:spacing w:line="276" w:lineRule="auto"/>
        <w:jc w:val="both"/>
        <w:rPr>
          <w:rFonts w:cs="Arial"/>
        </w:rPr>
      </w:pPr>
      <w:r w:rsidRPr="00153FD1">
        <w:t>http://library.hud.ac.uk/my/DIQ</w:t>
      </w:r>
      <w:r>
        <w:t>91</w:t>
      </w:r>
      <w:r w:rsidRPr="00153FD1">
        <w:t>30/</w:t>
      </w:r>
      <w:r>
        <w:t>91</w:t>
      </w:r>
      <w:r w:rsidRPr="00153FD1">
        <w:t>35</w:t>
      </w:r>
    </w:p>
    <w:sectPr w:rsidR="00E53C18" w:rsidRPr="00A50C8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6984" w14:textId="77777777" w:rsidR="00BC6839" w:rsidRDefault="00BC6839">
      <w:r>
        <w:separator/>
      </w:r>
    </w:p>
  </w:endnote>
  <w:endnote w:type="continuationSeparator" w:id="0">
    <w:p w14:paraId="5B0331AE" w14:textId="77777777" w:rsidR="00BC6839" w:rsidRDefault="00B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405" w14:textId="77777777" w:rsidR="00A50C8B" w:rsidRDefault="00A50C8B" w:rsidP="00A50C8B">
    <w:pPr>
      <w:pStyle w:val="Footer"/>
      <w:jc w:val="right"/>
      <w:rPr>
        <w:sz w:val="16"/>
        <w:szCs w:val="16"/>
      </w:rPr>
    </w:pPr>
    <w:r>
      <w:rPr>
        <w:sz w:val="16"/>
        <w:szCs w:val="16"/>
      </w:rPr>
      <w:t xml:space="preserve">Approved by UVP, Issue No 1 (DFQ8130/5) November 2017 </w:t>
    </w:r>
  </w:p>
  <w:p w14:paraId="623CB0D0" w14:textId="37056AFE" w:rsidR="00C429BC" w:rsidRPr="00A50C8B" w:rsidRDefault="00C429BC" w:rsidP="00A5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BFE6" w14:textId="77777777" w:rsidR="00BC6839" w:rsidRDefault="00BC6839">
      <w:r>
        <w:separator/>
      </w:r>
    </w:p>
  </w:footnote>
  <w:footnote w:type="continuationSeparator" w:id="0">
    <w:p w14:paraId="47381703" w14:textId="77777777" w:rsidR="00BC6839" w:rsidRDefault="00BC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C76" w14:textId="77777777" w:rsidR="00066937" w:rsidRDefault="00066937" w:rsidP="00066937">
    <w:pPr>
      <w:jc w:val="center"/>
      <w:rPr>
        <w:rFonts w:cs="Arial"/>
        <w:i/>
      </w:rPr>
    </w:pPr>
    <w:r w:rsidRPr="00E53747">
      <w:rPr>
        <w:rFonts w:cs="Arial"/>
        <w:i/>
      </w:rPr>
      <w:t>For information only – this document does not form part of the student contract</w:t>
    </w:r>
  </w:p>
  <w:p w14:paraId="617876CD" w14:textId="77777777" w:rsidR="00C429BC" w:rsidRPr="00FD0123" w:rsidRDefault="00C429BC" w:rsidP="00FD0123">
    <w:pPr>
      <w:pStyle w:val="Header"/>
      <w:jc w:val="center"/>
      <w:rPr>
        <w:b/>
      </w:rPr>
    </w:pPr>
    <w:r w:rsidRPr="00FD0123">
      <w:rPr>
        <w:b/>
      </w:rPr>
      <w:t>UNIVERSITY OF HUDDERSFIELD</w:t>
    </w:r>
  </w:p>
  <w:p w14:paraId="657291CD" w14:textId="77777777" w:rsidR="00C429BC" w:rsidRPr="00FD0123" w:rsidRDefault="00C429BC" w:rsidP="00FD0123">
    <w:pPr>
      <w:pStyle w:val="Header"/>
      <w:jc w:val="center"/>
      <w:rPr>
        <w:b/>
      </w:rPr>
    </w:pPr>
    <w:smartTag w:uri="urn:schemas-microsoft-com:office:smarttags" w:element="place">
      <w:smartTag w:uri="urn:schemas-microsoft-com:office:smarttags" w:element="PlaceType">
        <w:r w:rsidRPr="00FD0123">
          <w:rPr>
            <w:b/>
          </w:rPr>
          <w:t>SCHOOL</w:t>
        </w:r>
      </w:smartTag>
      <w:r w:rsidRPr="00FD0123">
        <w:rPr>
          <w:b/>
        </w:rPr>
        <w:t xml:space="preserve"> OF </w:t>
      </w:r>
      <w:smartTag w:uri="urn:schemas-microsoft-com:office:smarttags" w:element="PlaceName">
        <w:r w:rsidRPr="00FD0123">
          <w:rPr>
            <w:b/>
          </w:rPr>
          <w:t>EDUCATION</w:t>
        </w:r>
      </w:smartTag>
    </w:smartTag>
    <w:r w:rsidRPr="00FD0123">
      <w:rPr>
        <w:b/>
      </w:rPr>
      <w:t xml:space="preserve"> AND PROFESSIONAL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8FD"/>
    <w:multiLevelType w:val="hybridMultilevel"/>
    <w:tmpl w:val="D2E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3BCE"/>
    <w:multiLevelType w:val="multilevel"/>
    <w:tmpl w:val="1DE4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37482"/>
    <w:multiLevelType w:val="hybridMultilevel"/>
    <w:tmpl w:val="DFE040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29F3622"/>
    <w:multiLevelType w:val="multilevel"/>
    <w:tmpl w:val="D74E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737C2"/>
    <w:multiLevelType w:val="hybridMultilevel"/>
    <w:tmpl w:val="CFC43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A6EB3"/>
    <w:multiLevelType w:val="hybridMultilevel"/>
    <w:tmpl w:val="56568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C74DB"/>
    <w:multiLevelType w:val="hybridMultilevel"/>
    <w:tmpl w:val="B08EBDE8"/>
    <w:lvl w:ilvl="0" w:tplc="BE00B6D6">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17639819">
    <w:abstractNumId w:val="3"/>
  </w:num>
  <w:num w:numId="2" w16cid:durableId="720715075">
    <w:abstractNumId w:val="1"/>
  </w:num>
  <w:num w:numId="3" w16cid:durableId="249968734">
    <w:abstractNumId w:val="5"/>
  </w:num>
  <w:num w:numId="4" w16cid:durableId="1190364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2154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785562">
    <w:abstractNumId w:val="4"/>
  </w:num>
  <w:num w:numId="7" w16cid:durableId="497186353">
    <w:abstractNumId w:val="2"/>
  </w:num>
  <w:num w:numId="8" w16cid:durableId="213675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23"/>
    <w:rsid w:val="0002594E"/>
    <w:rsid w:val="00030527"/>
    <w:rsid w:val="00066937"/>
    <w:rsid w:val="00081289"/>
    <w:rsid w:val="000957E5"/>
    <w:rsid w:val="00095A0E"/>
    <w:rsid w:val="000A0DE4"/>
    <w:rsid w:val="000B1482"/>
    <w:rsid w:val="000C2572"/>
    <w:rsid w:val="000D43CB"/>
    <w:rsid w:val="00120732"/>
    <w:rsid w:val="001219E5"/>
    <w:rsid w:val="00132C70"/>
    <w:rsid w:val="001374A6"/>
    <w:rsid w:val="00146865"/>
    <w:rsid w:val="001502A6"/>
    <w:rsid w:val="001523BD"/>
    <w:rsid w:val="00160422"/>
    <w:rsid w:val="00162402"/>
    <w:rsid w:val="00162BE1"/>
    <w:rsid w:val="00170624"/>
    <w:rsid w:val="001842CD"/>
    <w:rsid w:val="00185E56"/>
    <w:rsid w:val="001A2573"/>
    <w:rsid w:val="001B03C4"/>
    <w:rsid w:val="001C1EFC"/>
    <w:rsid w:val="001C54F3"/>
    <w:rsid w:val="001C7421"/>
    <w:rsid w:val="001D58E1"/>
    <w:rsid w:val="001F10BF"/>
    <w:rsid w:val="002249AC"/>
    <w:rsid w:val="002443FB"/>
    <w:rsid w:val="00255446"/>
    <w:rsid w:val="00255E84"/>
    <w:rsid w:val="00267746"/>
    <w:rsid w:val="0028534F"/>
    <w:rsid w:val="002A2D41"/>
    <w:rsid w:val="002A310C"/>
    <w:rsid w:val="002B03AD"/>
    <w:rsid w:val="002B6C72"/>
    <w:rsid w:val="002D613E"/>
    <w:rsid w:val="002D78F9"/>
    <w:rsid w:val="002E0DE4"/>
    <w:rsid w:val="002F751B"/>
    <w:rsid w:val="003172F4"/>
    <w:rsid w:val="00323A32"/>
    <w:rsid w:val="003321AB"/>
    <w:rsid w:val="0033224E"/>
    <w:rsid w:val="0033549D"/>
    <w:rsid w:val="003409F1"/>
    <w:rsid w:val="00346585"/>
    <w:rsid w:val="003479BD"/>
    <w:rsid w:val="0036177D"/>
    <w:rsid w:val="00391BDC"/>
    <w:rsid w:val="00391CA5"/>
    <w:rsid w:val="00396C1E"/>
    <w:rsid w:val="003A2FE7"/>
    <w:rsid w:val="003A516D"/>
    <w:rsid w:val="003A7672"/>
    <w:rsid w:val="003D12A6"/>
    <w:rsid w:val="003E5ADE"/>
    <w:rsid w:val="0040451D"/>
    <w:rsid w:val="00411B61"/>
    <w:rsid w:val="004164C8"/>
    <w:rsid w:val="00471402"/>
    <w:rsid w:val="00473B0D"/>
    <w:rsid w:val="00474E2B"/>
    <w:rsid w:val="004837B0"/>
    <w:rsid w:val="0049272C"/>
    <w:rsid w:val="004A1153"/>
    <w:rsid w:val="004C0621"/>
    <w:rsid w:val="004C0E84"/>
    <w:rsid w:val="0051522D"/>
    <w:rsid w:val="005161FF"/>
    <w:rsid w:val="00516283"/>
    <w:rsid w:val="00516E9D"/>
    <w:rsid w:val="0053340C"/>
    <w:rsid w:val="00537A86"/>
    <w:rsid w:val="00550325"/>
    <w:rsid w:val="00556E80"/>
    <w:rsid w:val="005621EE"/>
    <w:rsid w:val="005B72ED"/>
    <w:rsid w:val="005B7FD2"/>
    <w:rsid w:val="005D497B"/>
    <w:rsid w:val="005F193F"/>
    <w:rsid w:val="00600F0A"/>
    <w:rsid w:val="00605204"/>
    <w:rsid w:val="00620F99"/>
    <w:rsid w:val="006517A4"/>
    <w:rsid w:val="00652FF8"/>
    <w:rsid w:val="00680E20"/>
    <w:rsid w:val="00696440"/>
    <w:rsid w:val="006A1E3D"/>
    <w:rsid w:val="006C79AB"/>
    <w:rsid w:val="006D0CDB"/>
    <w:rsid w:val="006E0DF2"/>
    <w:rsid w:val="006E236C"/>
    <w:rsid w:val="006F0B06"/>
    <w:rsid w:val="006F6F4F"/>
    <w:rsid w:val="00715D0A"/>
    <w:rsid w:val="00716E6E"/>
    <w:rsid w:val="007174E7"/>
    <w:rsid w:val="00721D94"/>
    <w:rsid w:val="00732888"/>
    <w:rsid w:val="007515C4"/>
    <w:rsid w:val="00751651"/>
    <w:rsid w:val="00771152"/>
    <w:rsid w:val="0077328D"/>
    <w:rsid w:val="007853D2"/>
    <w:rsid w:val="007B093A"/>
    <w:rsid w:val="007C52C4"/>
    <w:rsid w:val="007D2273"/>
    <w:rsid w:val="007E6F3C"/>
    <w:rsid w:val="007F545E"/>
    <w:rsid w:val="00810B0B"/>
    <w:rsid w:val="00812299"/>
    <w:rsid w:val="00830BB9"/>
    <w:rsid w:val="00855166"/>
    <w:rsid w:val="008553C9"/>
    <w:rsid w:val="00865C79"/>
    <w:rsid w:val="00874C3D"/>
    <w:rsid w:val="00875F79"/>
    <w:rsid w:val="00882507"/>
    <w:rsid w:val="0089495B"/>
    <w:rsid w:val="008D0B2D"/>
    <w:rsid w:val="008D30A7"/>
    <w:rsid w:val="008E0656"/>
    <w:rsid w:val="008F6C40"/>
    <w:rsid w:val="009028B1"/>
    <w:rsid w:val="00912AAD"/>
    <w:rsid w:val="00913339"/>
    <w:rsid w:val="00920B4B"/>
    <w:rsid w:val="00934825"/>
    <w:rsid w:val="009365B7"/>
    <w:rsid w:val="00950C34"/>
    <w:rsid w:val="00951E6F"/>
    <w:rsid w:val="00952B3B"/>
    <w:rsid w:val="009530F2"/>
    <w:rsid w:val="009538F3"/>
    <w:rsid w:val="00953F25"/>
    <w:rsid w:val="009729D9"/>
    <w:rsid w:val="009A274A"/>
    <w:rsid w:val="009A5DA3"/>
    <w:rsid w:val="009A77A3"/>
    <w:rsid w:val="009B2B7C"/>
    <w:rsid w:val="009B6D81"/>
    <w:rsid w:val="009C6F1B"/>
    <w:rsid w:val="009E7B59"/>
    <w:rsid w:val="009F180F"/>
    <w:rsid w:val="009F3BD1"/>
    <w:rsid w:val="009F5766"/>
    <w:rsid w:val="009F6E47"/>
    <w:rsid w:val="00A10404"/>
    <w:rsid w:val="00A15EF8"/>
    <w:rsid w:val="00A32A9D"/>
    <w:rsid w:val="00A36E08"/>
    <w:rsid w:val="00A40821"/>
    <w:rsid w:val="00A434B5"/>
    <w:rsid w:val="00A50C8B"/>
    <w:rsid w:val="00A525CA"/>
    <w:rsid w:val="00A629AE"/>
    <w:rsid w:val="00A630A3"/>
    <w:rsid w:val="00A87EF5"/>
    <w:rsid w:val="00A97EB7"/>
    <w:rsid w:val="00AA72A4"/>
    <w:rsid w:val="00AB550B"/>
    <w:rsid w:val="00AC2ABB"/>
    <w:rsid w:val="00AD5AFF"/>
    <w:rsid w:val="00AF7B2C"/>
    <w:rsid w:val="00B07E8D"/>
    <w:rsid w:val="00B26BCF"/>
    <w:rsid w:val="00B7578B"/>
    <w:rsid w:val="00B77D01"/>
    <w:rsid w:val="00B959B9"/>
    <w:rsid w:val="00B96E5B"/>
    <w:rsid w:val="00B97E89"/>
    <w:rsid w:val="00BA083C"/>
    <w:rsid w:val="00BC6839"/>
    <w:rsid w:val="00BD6EFD"/>
    <w:rsid w:val="00BE27BF"/>
    <w:rsid w:val="00BE3436"/>
    <w:rsid w:val="00C01407"/>
    <w:rsid w:val="00C065F2"/>
    <w:rsid w:val="00C10427"/>
    <w:rsid w:val="00C41531"/>
    <w:rsid w:val="00C429BC"/>
    <w:rsid w:val="00C63087"/>
    <w:rsid w:val="00C65E5D"/>
    <w:rsid w:val="00C74296"/>
    <w:rsid w:val="00C76F27"/>
    <w:rsid w:val="00C91E45"/>
    <w:rsid w:val="00C93EA0"/>
    <w:rsid w:val="00C96556"/>
    <w:rsid w:val="00CA467A"/>
    <w:rsid w:val="00CC3A1F"/>
    <w:rsid w:val="00CE13AD"/>
    <w:rsid w:val="00D014F9"/>
    <w:rsid w:val="00D02C85"/>
    <w:rsid w:val="00D1120C"/>
    <w:rsid w:val="00D13E52"/>
    <w:rsid w:val="00D360B2"/>
    <w:rsid w:val="00D42F86"/>
    <w:rsid w:val="00D47287"/>
    <w:rsid w:val="00D47382"/>
    <w:rsid w:val="00D57A23"/>
    <w:rsid w:val="00D62EEC"/>
    <w:rsid w:val="00D75D57"/>
    <w:rsid w:val="00D82827"/>
    <w:rsid w:val="00D964BE"/>
    <w:rsid w:val="00DA4834"/>
    <w:rsid w:val="00DA67C5"/>
    <w:rsid w:val="00DB2A61"/>
    <w:rsid w:val="00DB52B7"/>
    <w:rsid w:val="00DB6540"/>
    <w:rsid w:val="00DC7E55"/>
    <w:rsid w:val="00DD5C1E"/>
    <w:rsid w:val="00DD6996"/>
    <w:rsid w:val="00DD6A9D"/>
    <w:rsid w:val="00DE2F5E"/>
    <w:rsid w:val="00DE5FFC"/>
    <w:rsid w:val="00DF5553"/>
    <w:rsid w:val="00DF6150"/>
    <w:rsid w:val="00E003BD"/>
    <w:rsid w:val="00E07F79"/>
    <w:rsid w:val="00E11B4E"/>
    <w:rsid w:val="00E20535"/>
    <w:rsid w:val="00E26947"/>
    <w:rsid w:val="00E4635F"/>
    <w:rsid w:val="00E464C3"/>
    <w:rsid w:val="00E53C18"/>
    <w:rsid w:val="00E67D90"/>
    <w:rsid w:val="00EA2B5F"/>
    <w:rsid w:val="00EA6971"/>
    <w:rsid w:val="00EB3891"/>
    <w:rsid w:val="00EC209C"/>
    <w:rsid w:val="00ED0C7C"/>
    <w:rsid w:val="00ED328A"/>
    <w:rsid w:val="00ED5A2F"/>
    <w:rsid w:val="00EE3732"/>
    <w:rsid w:val="00F12092"/>
    <w:rsid w:val="00F41212"/>
    <w:rsid w:val="00F42C57"/>
    <w:rsid w:val="00F532E7"/>
    <w:rsid w:val="00F61AC9"/>
    <w:rsid w:val="00F7312C"/>
    <w:rsid w:val="00FB23FA"/>
    <w:rsid w:val="00FD0123"/>
    <w:rsid w:val="00FD3223"/>
    <w:rsid w:val="00FD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0C851A"/>
  <w15:docId w15:val="{703F026E-1C46-4AD7-BFF7-DC8A9401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123"/>
    <w:pPr>
      <w:tabs>
        <w:tab w:val="center" w:pos="4153"/>
        <w:tab w:val="right" w:pos="8306"/>
      </w:tabs>
    </w:pPr>
  </w:style>
  <w:style w:type="paragraph" w:styleId="Footer">
    <w:name w:val="footer"/>
    <w:basedOn w:val="Normal"/>
    <w:link w:val="FooterChar"/>
    <w:rsid w:val="00FD0123"/>
    <w:pPr>
      <w:tabs>
        <w:tab w:val="center" w:pos="4153"/>
        <w:tab w:val="right" w:pos="8306"/>
      </w:tabs>
    </w:pPr>
  </w:style>
  <w:style w:type="table" w:styleId="TableGrid">
    <w:name w:val="Table Grid"/>
    <w:basedOn w:val="TableNormal"/>
    <w:rsid w:val="00FD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467A"/>
    <w:rPr>
      <w:rFonts w:ascii="Tahoma" w:hAnsi="Tahoma" w:cs="Tahoma"/>
      <w:sz w:val="16"/>
      <w:szCs w:val="16"/>
    </w:rPr>
  </w:style>
  <w:style w:type="character" w:styleId="Hyperlink">
    <w:name w:val="Hyperlink"/>
    <w:rsid w:val="00A97EB7"/>
    <w:rPr>
      <w:color w:val="0000FF"/>
      <w:u w:val="single"/>
    </w:rPr>
  </w:style>
  <w:style w:type="paragraph" w:styleId="BodyText">
    <w:name w:val="Body Text"/>
    <w:basedOn w:val="Normal"/>
    <w:link w:val="BodyTextChar"/>
    <w:rsid w:val="003A516D"/>
    <w:pPr>
      <w:widowControl w:val="0"/>
    </w:pPr>
    <w:rPr>
      <w:snapToGrid w:val="0"/>
      <w:lang w:eastAsia="en-US"/>
    </w:rPr>
  </w:style>
  <w:style w:type="paragraph" w:styleId="CommentText">
    <w:name w:val="annotation text"/>
    <w:basedOn w:val="Normal"/>
    <w:link w:val="CommentTextChar"/>
    <w:semiHidden/>
    <w:rsid w:val="00E11B4E"/>
  </w:style>
  <w:style w:type="character" w:styleId="FollowedHyperlink">
    <w:name w:val="FollowedHyperlink"/>
    <w:rsid w:val="00A630A3"/>
    <w:rPr>
      <w:color w:val="800080"/>
      <w:u w:val="single"/>
    </w:rPr>
  </w:style>
  <w:style w:type="character" w:styleId="CommentReference">
    <w:name w:val="annotation reference"/>
    <w:basedOn w:val="DefaultParagraphFont"/>
    <w:rsid w:val="00D13E52"/>
    <w:rPr>
      <w:sz w:val="16"/>
      <w:szCs w:val="16"/>
    </w:rPr>
  </w:style>
  <w:style w:type="paragraph" w:styleId="CommentSubject">
    <w:name w:val="annotation subject"/>
    <w:basedOn w:val="CommentText"/>
    <w:next w:val="CommentText"/>
    <w:link w:val="CommentSubjectChar"/>
    <w:rsid w:val="00D13E52"/>
    <w:rPr>
      <w:b/>
      <w:bCs/>
    </w:rPr>
  </w:style>
  <w:style w:type="character" w:customStyle="1" w:styleId="CommentTextChar">
    <w:name w:val="Comment Text Char"/>
    <w:basedOn w:val="DefaultParagraphFont"/>
    <w:link w:val="CommentText"/>
    <w:semiHidden/>
    <w:rsid w:val="00D13E52"/>
    <w:rPr>
      <w:rFonts w:ascii="Arial" w:hAnsi="Arial"/>
    </w:rPr>
  </w:style>
  <w:style w:type="character" w:customStyle="1" w:styleId="CommentSubjectChar">
    <w:name w:val="Comment Subject Char"/>
    <w:basedOn w:val="CommentTextChar"/>
    <w:link w:val="CommentSubject"/>
    <w:rsid w:val="00D13E52"/>
    <w:rPr>
      <w:rFonts w:ascii="Arial" w:hAnsi="Arial"/>
      <w:b/>
      <w:bCs/>
    </w:rPr>
  </w:style>
  <w:style w:type="character" w:customStyle="1" w:styleId="BodyTextChar">
    <w:name w:val="Body Text Char"/>
    <w:basedOn w:val="DefaultParagraphFont"/>
    <w:link w:val="BodyText"/>
    <w:rsid w:val="003A7672"/>
    <w:rPr>
      <w:rFonts w:ascii="Arial" w:hAnsi="Arial"/>
      <w:snapToGrid w:val="0"/>
      <w:lang w:eastAsia="en-US"/>
    </w:rPr>
  </w:style>
  <w:style w:type="paragraph" w:styleId="ListParagraph">
    <w:name w:val="List Paragraph"/>
    <w:basedOn w:val="Normal"/>
    <w:uiPriority w:val="34"/>
    <w:qFormat/>
    <w:rsid w:val="009C6F1B"/>
    <w:pPr>
      <w:ind w:left="720"/>
      <w:contextualSpacing/>
    </w:pPr>
  </w:style>
  <w:style w:type="character" w:customStyle="1" w:styleId="FooterChar">
    <w:name w:val="Footer Char"/>
    <w:basedOn w:val="DefaultParagraphFont"/>
    <w:link w:val="Footer"/>
    <w:rsid w:val="00A50C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297">
      <w:bodyDiv w:val="1"/>
      <w:marLeft w:val="0"/>
      <w:marRight w:val="0"/>
      <w:marTop w:val="0"/>
      <w:marBottom w:val="0"/>
      <w:divBdr>
        <w:top w:val="none" w:sz="0" w:space="0" w:color="auto"/>
        <w:left w:val="none" w:sz="0" w:space="0" w:color="auto"/>
        <w:bottom w:val="none" w:sz="0" w:space="0" w:color="auto"/>
        <w:right w:val="none" w:sz="0" w:space="0" w:color="auto"/>
      </w:divBdr>
    </w:div>
    <w:div w:id="261182892">
      <w:bodyDiv w:val="1"/>
      <w:marLeft w:val="0"/>
      <w:marRight w:val="0"/>
      <w:marTop w:val="0"/>
      <w:marBottom w:val="0"/>
      <w:divBdr>
        <w:top w:val="none" w:sz="0" w:space="0" w:color="auto"/>
        <w:left w:val="none" w:sz="0" w:space="0" w:color="auto"/>
        <w:bottom w:val="none" w:sz="0" w:space="0" w:color="auto"/>
        <w:right w:val="none" w:sz="0" w:space="0" w:color="auto"/>
      </w:divBdr>
    </w:div>
    <w:div w:id="541133796">
      <w:bodyDiv w:val="1"/>
      <w:marLeft w:val="0"/>
      <w:marRight w:val="0"/>
      <w:marTop w:val="0"/>
      <w:marBottom w:val="0"/>
      <w:divBdr>
        <w:top w:val="none" w:sz="0" w:space="0" w:color="auto"/>
        <w:left w:val="none" w:sz="0" w:space="0" w:color="auto"/>
        <w:bottom w:val="none" w:sz="0" w:space="0" w:color="auto"/>
        <w:right w:val="none" w:sz="0" w:space="0" w:color="auto"/>
      </w:divBdr>
    </w:div>
    <w:div w:id="749275863">
      <w:bodyDiv w:val="1"/>
      <w:marLeft w:val="0"/>
      <w:marRight w:val="0"/>
      <w:marTop w:val="0"/>
      <w:marBottom w:val="0"/>
      <w:divBdr>
        <w:top w:val="none" w:sz="0" w:space="0" w:color="auto"/>
        <w:left w:val="none" w:sz="0" w:space="0" w:color="auto"/>
        <w:bottom w:val="none" w:sz="0" w:space="0" w:color="auto"/>
        <w:right w:val="none" w:sz="0" w:space="0" w:color="auto"/>
      </w:divBdr>
    </w:div>
    <w:div w:id="859666189">
      <w:bodyDiv w:val="1"/>
      <w:marLeft w:val="0"/>
      <w:marRight w:val="0"/>
      <w:marTop w:val="0"/>
      <w:marBottom w:val="0"/>
      <w:divBdr>
        <w:top w:val="none" w:sz="0" w:space="0" w:color="auto"/>
        <w:left w:val="none" w:sz="0" w:space="0" w:color="auto"/>
        <w:bottom w:val="none" w:sz="0" w:space="0" w:color="auto"/>
        <w:right w:val="none" w:sz="0" w:space="0" w:color="auto"/>
      </w:divBdr>
    </w:div>
    <w:div w:id="16042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661C-3724-4643-8204-1728C986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DIQ9130 and DIQ9135 - Copy</vt:lpstr>
    </vt:vector>
  </TitlesOfParts>
  <Company>University of Huddersfield</Company>
  <LinksUpToDate>false</LinksUpToDate>
  <CharactersWithSpaces>8429</CharactersWithSpaces>
  <SharedDoc>false</SharedDoc>
  <HLinks>
    <vt:vector size="24" baseType="variant">
      <vt:variant>
        <vt:i4>4718599</vt:i4>
      </vt:variant>
      <vt:variant>
        <vt:i4>9</vt:i4>
      </vt:variant>
      <vt:variant>
        <vt:i4>0</vt:i4>
      </vt:variant>
      <vt:variant>
        <vt:i4>5</vt:i4>
      </vt:variant>
      <vt:variant>
        <vt:lpwstr>http://www.infed.org/</vt:lpwstr>
      </vt:variant>
      <vt:variant>
        <vt:lpwstr>
        </vt:lpwstr>
      </vt:variant>
      <vt:variant>
        <vt:i4>4456477</vt:i4>
      </vt:variant>
      <vt:variant>
        <vt:i4>6</vt:i4>
      </vt:variant>
      <vt:variant>
        <vt:i4>0</vt:i4>
      </vt:variant>
      <vt:variant>
        <vt:i4>5</vt:i4>
      </vt:variant>
      <vt:variant>
        <vt:lpwstr>http://www.fento.org/</vt:lpwstr>
      </vt:variant>
      <vt:variant>
        <vt:lpwstr>
        </vt:lpwstr>
      </vt:variant>
      <vt:variant>
        <vt:i4>1179652</vt:i4>
      </vt:variant>
      <vt:variant>
        <vt:i4>3</vt:i4>
      </vt:variant>
      <vt:variant>
        <vt:i4>0</vt:i4>
      </vt:variant>
      <vt:variant>
        <vt:i4>5</vt:i4>
      </vt:variant>
      <vt:variant>
        <vt:lpwstr>http://www.ilt.ac.uk/</vt:lpwstr>
      </vt:variant>
      <vt:variant>
        <vt:lpwstr>
        </vt:lpwstr>
      </vt:variant>
      <vt:variant>
        <vt:i4>3866727</vt:i4>
      </vt:variant>
      <vt:variant>
        <vt:i4>0</vt:i4>
      </vt:variant>
      <vt:variant>
        <vt:i4>0</vt:i4>
      </vt:variant>
      <vt:variant>
        <vt:i4>5</vt:i4>
      </vt:variant>
      <vt:variant>
        <vt:lpwstr>http://library.hud.ac.uk/my/DHD7230</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DIQ9130 and DIQ9135 - Copy</dc:title>
  <dc:creator>Jane Reddington (sedujmr)</dc:creator>
  <cp:lastModifiedBy>Adara Gibson</cp:lastModifiedBy>
  <cp:revision>2</cp:revision>
  <cp:lastPrinted>2017-09-20T14:00:00Z</cp:lastPrinted>
  <dcterms:created xsi:type="dcterms:W3CDTF">2023-08-29T08:18:00Z</dcterms:created>
  <dcterms:modified xsi:type="dcterms:W3CDTF">2023-08-29T08:18:00Z</dcterms:modified>
</cp:coreProperties>
</file>